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F38" w:rsidRPr="00AE08A9" w:rsidRDefault="00AE08A9" w:rsidP="00843980">
      <w:pPr>
        <w:pStyle w:val="Title"/>
      </w:pPr>
      <w:r w:rsidRPr="00AE08A9">
        <w:drawing>
          <wp:anchor distT="0" distB="0" distL="114300" distR="114300" simplePos="0" relativeHeight="251659264" behindDoc="1" locked="0" layoutInCell="1" allowOverlap="1" wp14:anchorId="33497975" wp14:editId="24C55BD7">
            <wp:simplePos x="0" y="0"/>
            <wp:positionH relativeFrom="column">
              <wp:posOffset>-25400</wp:posOffset>
            </wp:positionH>
            <wp:positionV relativeFrom="paragraph">
              <wp:posOffset>-365125</wp:posOffset>
            </wp:positionV>
            <wp:extent cx="885190" cy="5143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ange top hoo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5190" cy="514350"/>
                    </a:xfrm>
                    <a:prstGeom prst="rect">
                      <a:avLst/>
                    </a:prstGeom>
                  </pic:spPr>
                </pic:pic>
              </a:graphicData>
            </a:graphic>
          </wp:anchor>
        </w:drawing>
      </w:r>
      <w:r w:rsidRPr="00AE08A9">
        <w:drawing>
          <wp:anchor distT="0" distB="0" distL="114300" distR="114300" simplePos="0" relativeHeight="251658240" behindDoc="1" locked="0" layoutInCell="1" allowOverlap="1" wp14:anchorId="426114E2" wp14:editId="216AEA69">
            <wp:simplePos x="0" y="0"/>
            <wp:positionH relativeFrom="column">
              <wp:posOffset>4895850</wp:posOffset>
            </wp:positionH>
            <wp:positionV relativeFrom="paragraph">
              <wp:posOffset>200025</wp:posOffset>
            </wp:positionV>
            <wp:extent cx="891540" cy="518795"/>
            <wp:effectExtent l="0" t="0" r="381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ellow bottom hook.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91540" cy="518795"/>
                    </a:xfrm>
                    <a:prstGeom prst="rect">
                      <a:avLst/>
                    </a:prstGeom>
                  </pic:spPr>
                </pic:pic>
              </a:graphicData>
            </a:graphic>
            <wp14:sizeRelH relativeFrom="page">
              <wp14:pctWidth>0</wp14:pctWidth>
            </wp14:sizeRelH>
            <wp14:sizeRelV relativeFrom="page">
              <wp14:pctHeight>0</wp14:pctHeight>
            </wp14:sizeRelV>
          </wp:anchor>
        </w:drawing>
      </w:r>
      <w:r w:rsidR="00837C83" w:rsidRPr="00AE08A9">
        <w:t>Intellectual property policy</w:t>
      </w:r>
    </w:p>
    <w:p w:rsidR="007B0778" w:rsidRPr="007B0778" w:rsidRDefault="007B0778" w:rsidP="007B0778"/>
    <w:p w:rsidR="0084164C" w:rsidRDefault="0084164C" w:rsidP="0002457B">
      <w:pPr>
        <w:pStyle w:val="Heading1"/>
      </w:pPr>
      <w:bookmarkStart w:id="0" w:name="_Toc473877258"/>
      <w:bookmarkStart w:id="1" w:name="_Toc473883136"/>
      <w:bookmarkStart w:id="2" w:name="_Toc473895988"/>
      <w:bookmarkStart w:id="3" w:name="_Toc473896032"/>
      <w:bookmarkStart w:id="4" w:name="_Toc473877259"/>
      <w:bookmarkStart w:id="5" w:name="_Toc473883137"/>
      <w:bookmarkStart w:id="6" w:name="_Toc473895989"/>
      <w:bookmarkStart w:id="7" w:name="_Toc473896033"/>
      <w:bookmarkStart w:id="8" w:name="_Toc476231113"/>
      <w:bookmarkEnd w:id="0"/>
      <w:bookmarkEnd w:id="1"/>
      <w:bookmarkEnd w:id="2"/>
      <w:bookmarkEnd w:id="3"/>
      <w:bookmarkEnd w:id="4"/>
      <w:bookmarkEnd w:id="5"/>
      <w:bookmarkEnd w:id="6"/>
      <w:bookmarkEnd w:id="7"/>
      <w:r>
        <w:t>Purpose</w:t>
      </w:r>
    </w:p>
    <w:p w:rsidR="00204D01" w:rsidRDefault="0084164C" w:rsidP="0084164C">
      <w:r>
        <w:t>T</w:t>
      </w:r>
      <w:r w:rsidR="00A45C51">
        <w:t>he purpose of this policy is to:</w:t>
      </w:r>
    </w:p>
    <w:p w:rsidR="0084164C" w:rsidRDefault="0084164C" w:rsidP="00204D01">
      <w:pPr>
        <w:pStyle w:val="ListParagraph"/>
      </w:pPr>
      <w:r>
        <w:t>provide a framework for the use</w:t>
      </w:r>
      <w:r w:rsidR="0009643E">
        <w:t>, generation, acquisition</w:t>
      </w:r>
      <w:r>
        <w:t xml:space="preserve"> and management of inte</w:t>
      </w:r>
      <w:r w:rsidR="00204D01">
        <w:t>llectual property</w:t>
      </w:r>
      <w:r w:rsidR="002B416E">
        <w:t xml:space="preserve"> (IP)</w:t>
      </w:r>
      <w:r w:rsidR="00204D01">
        <w:t xml:space="preserve"> in government, and</w:t>
      </w:r>
    </w:p>
    <w:p w:rsidR="005212FB" w:rsidRDefault="005212FB" w:rsidP="00204D01">
      <w:pPr>
        <w:pStyle w:val="ListParagraph"/>
      </w:pPr>
      <w:proofErr w:type="gramStart"/>
      <w:r>
        <w:t>ensure</w:t>
      </w:r>
      <w:proofErr w:type="gramEnd"/>
      <w:r>
        <w:t xml:space="preserve"> that government-owne</w:t>
      </w:r>
      <w:r w:rsidR="00204D01">
        <w:t xml:space="preserve">d intellectual property is used to generate </w:t>
      </w:r>
      <w:r w:rsidR="00AF1A4C">
        <w:t>public value</w:t>
      </w:r>
      <w:r w:rsidR="00204D01">
        <w:t xml:space="preserve">, knowledge transfer and innovation </w:t>
      </w:r>
      <w:r>
        <w:t>to the fullest extent possible.</w:t>
      </w:r>
    </w:p>
    <w:p w:rsidR="0009643E" w:rsidRPr="00AE08A9" w:rsidRDefault="00924500" w:rsidP="0002457B">
      <w:pPr>
        <w:pStyle w:val="Heading1"/>
      </w:pPr>
      <w:r w:rsidRPr="00AE08A9">
        <w:t>Policy r</w:t>
      </w:r>
      <w:r w:rsidR="0009643E" w:rsidRPr="00AE08A9">
        <w:t>ationale</w:t>
      </w:r>
    </w:p>
    <w:p w:rsidR="0009643E" w:rsidRDefault="0009643E" w:rsidP="002B416E">
      <w:r>
        <w:t>I</w:t>
      </w:r>
      <w:r w:rsidR="002B416E">
        <w:t>P</w:t>
      </w:r>
      <w:r>
        <w:t xml:space="preserve"> is routinely generated in the course of government business</w:t>
      </w:r>
      <w:r w:rsidR="002B416E">
        <w:t xml:space="preserve"> and includes</w:t>
      </w:r>
      <w:r>
        <w:t xml:space="preserve"> written material, websites, software, infrastructure design and various types of research and analysis.</w:t>
      </w:r>
    </w:p>
    <w:p w:rsidR="005212FB" w:rsidRDefault="00343E2C" w:rsidP="00204D01">
      <w:r>
        <w:t>I</w:t>
      </w:r>
      <w:r w:rsidR="005212FB">
        <w:t xml:space="preserve">n many cases government-owned </w:t>
      </w:r>
      <w:r w:rsidR="002B416E">
        <w:t>IP</w:t>
      </w:r>
      <w:r w:rsidR="005212FB">
        <w:t xml:space="preserve"> may have significant commercial or public value which must be recognised, protected and optimised.</w:t>
      </w:r>
    </w:p>
    <w:p w:rsidR="0009643E" w:rsidRDefault="002B416E" w:rsidP="0009643E">
      <w:r>
        <w:t>T</w:t>
      </w:r>
      <w:r w:rsidR="0009643E">
        <w:t xml:space="preserve">he </w:t>
      </w:r>
      <w:r w:rsidR="005212FB">
        <w:t>commercial</w:t>
      </w:r>
      <w:r w:rsidR="0009643E">
        <w:t xml:space="preserve"> </w:t>
      </w:r>
      <w:r w:rsidR="005212FB">
        <w:t xml:space="preserve">exploitation of </w:t>
      </w:r>
      <w:r>
        <w:t>IP</w:t>
      </w:r>
      <w:r w:rsidR="005212FB">
        <w:t xml:space="preserve"> is not </w:t>
      </w:r>
      <w:r>
        <w:t xml:space="preserve">the </w:t>
      </w:r>
      <w:r w:rsidR="005212FB">
        <w:t>primary concern of government</w:t>
      </w:r>
      <w:r w:rsidR="0009643E">
        <w:t>. Rather</w:t>
      </w:r>
      <w:r>
        <w:t>,</w:t>
      </w:r>
      <w:r w:rsidR="0009643E">
        <w:t xml:space="preserve"> </w:t>
      </w:r>
      <w:r>
        <w:t>the focus</w:t>
      </w:r>
      <w:r w:rsidR="0009643E">
        <w:t xml:space="preserve"> is to make sure the ideas, creative works, inventions and discoveries generate</w:t>
      </w:r>
      <w:r>
        <w:t>d</w:t>
      </w:r>
      <w:r w:rsidR="0009643E">
        <w:t xml:space="preserve"> are used to maximise </w:t>
      </w:r>
      <w:r w:rsidR="00AF1A4C">
        <w:t>public value</w:t>
      </w:r>
      <w:r w:rsidR="0009643E">
        <w:t>.</w:t>
      </w:r>
    </w:p>
    <w:p w:rsidR="0009643E" w:rsidRDefault="002B416E" w:rsidP="002B416E">
      <w:r w:rsidRPr="00BA2FF8">
        <w:t>Government is often not best placed to further develop IP. Instead</w:t>
      </w:r>
      <w:r w:rsidR="005212FB" w:rsidRPr="00BA2FF8">
        <w:t>, w</w:t>
      </w:r>
      <w:r w:rsidR="0009643E" w:rsidRPr="00BA2FF8">
        <w:t xml:space="preserve">here there are opportunities for innovation, </w:t>
      </w:r>
      <w:r w:rsidRPr="00BA2FF8">
        <w:t xml:space="preserve">government </w:t>
      </w:r>
      <w:r w:rsidR="0009643E" w:rsidRPr="00BA2FF8">
        <w:t xml:space="preserve">should allow staff or third parties to further develop and commercially benefit from </w:t>
      </w:r>
      <w:r w:rsidR="000307EA" w:rsidRPr="00BA2FF8">
        <w:t>IP</w:t>
      </w:r>
      <w:r w:rsidR="0009643E" w:rsidRPr="00BA2FF8">
        <w:t xml:space="preserve">—provided this can be done on a fair, equitable and transparent basis and </w:t>
      </w:r>
      <w:r w:rsidR="000307EA" w:rsidRPr="00BA2FF8">
        <w:t xml:space="preserve">clearly </w:t>
      </w:r>
      <w:r w:rsidR="0009643E" w:rsidRPr="00BA2FF8">
        <w:t>generate</w:t>
      </w:r>
      <w:r w:rsidR="000307EA" w:rsidRPr="00BA2FF8">
        <w:t>s</w:t>
      </w:r>
      <w:r w:rsidR="0009643E" w:rsidRPr="00BA2FF8">
        <w:t xml:space="preserve"> public benefit</w:t>
      </w:r>
      <w:r w:rsidR="00204D01" w:rsidRPr="00BA2FF8">
        <w:t>, knowledge transfer</w:t>
      </w:r>
      <w:r w:rsidR="0009643E" w:rsidRPr="00BA2FF8">
        <w:t xml:space="preserve"> or innovation</w:t>
      </w:r>
      <w:r w:rsidR="002F77AC">
        <w:t>, and does not erode the state’s IP.</w:t>
      </w:r>
    </w:p>
    <w:p w:rsidR="00803F1B" w:rsidRDefault="00803F1B" w:rsidP="002B416E">
      <w:r>
        <w:t>In some cases information held by government is subject to public disclosure, whether or not IP subsists in that information. This does not mean government forgoes its IP rights in that information.</w:t>
      </w:r>
    </w:p>
    <w:p w:rsidR="0078007A" w:rsidRPr="00837C83" w:rsidRDefault="00AE08A9" w:rsidP="0002457B">
      <w:pPr>
        <w:pStyle w:val="Heading1"/>
      </w:pPr>
      <w:r>
        <w:t>Scope and a</w:t>
      </w:r>
      <w:r w:rsidR="00C121B4">
        <w:t>pplication</w:t>
      </w:r>
    </w:p>
    <w:bookmarkEnd w:id="8"/>
    <w:p w:rsidR="00C121B4" w:rsidRDefault="00C121B4" w:rsidP="00C121B4">
      <w:r>
        <w:t xml:space="preserve">This policy applies to </w:t>
      </w:r>
      <w:r w:rsidR="000307EA">
        <w:t>IP</w:t>
      </w:r>
      <w:r>
        <w:t xml:space="preserve"> generated, acquired or held by agencies</w:t>
      </w:r>
      <w:r w:rsidR="00924500">
        <w:t xml:space="preserve"> on behalf of government</w:t>
      </w:r>
      <w:r>
        <w:t>.</w:t>
      </w:r>
      <w:r w:rsidR="000307EA">
        <w:t xml:space="preserve"> </w:t>
      </w:r>
      <w:r w:rsidR="00FE53F6">
        <w:t xml:space="preserve">It applies to </w:t>
      </w:r>
      <w:r w:rsidR="00FE53F6" w:rsidRPr="00906847">
        <w:t>all public sector agencies and public sector employees</w:t>
      </w:r>
      <w:r w:rsidR="00D91D39">
        <w:t xml:space="preserve"> (as defined in the </w:t>
      </w:r>
      <w:r w:rsidR="00D91D39">
        <w:rPr>
          <w:i/>
        </w:rPr>
        <w:t>Public Sector Act 2009)</w:t>
      </w:r>
      <w:r w:rsidR="00FE53F6" w:rsidRPr="00906847">
        <w:t>.</w:t>
      </w:r>
      <w:r w:rsidR="00FE53F6">
        <w:rPr>
          <w:rFonts w:eastAsiaTheme="minorHAnsi" w:cs="Arial"/>
          <w:color w:val="auto"/>
          <w:sz w:val="16"/>
          <w:szCs w:val="16"/>
        </w:rPr>
        <w:t xml:space="preserve"> </w:t>
      </w:r>
      <w:r>
        <w:t xml:space="preserve">The principal types of </w:t>
      </w:r>
      <w:r w:rsidR="000307EA">
        <w:t>IP</w:t>
      </w:r>
      <w:r>
        <w:t xml:space="preserve"> are</w:t>
      </w:r>
      <w:r w:rsidR="000307EA">
        <w:t xml:space="preserve"> contained in Appendix 1</w:t>
      </w:r>
      <w:r w:rsidR="00803F1B">
        <w:t>.</w:t>
      </w:r>
    </w:p>
    <w:p w:rsidR="0009643E" w:rsidRDefault="00C121B4" w:rsidP="0009643E">
      <w:r>
        <w:t xml:space="preserve">Each type of </w:t>
      </w:r>
      <w:r w:rsidR="000307EA">
        <w:t>IP</w:t>
      </w:r>
      <w:r>
        <w:t xml:space="preserve"> gives its owner exclusive rights</w:t>
      </w:r>
      <w:r w:rsidR="0009643E">
        <w:t>, for a defined period, to use, exploit and commercially benefit from the invention, discovery, idea or creative work to which the right applies as a reward for the effort they have invested.</w:t>
      </w:r>
    </w:p>
    <w:p w:rsidR="006B0FE5" w:rsidRPr="00204D01" w:rsidRDefault="00621907" w:rsidP="00204D01">
      <w:r>
        <w:t xml:space="preserve">Most types of </w:t>
      </w:r>
      <w:r w:rsidR="000307EA">
        <w:t>IP</w:t>
      </w:r>
      <w:r>
        <w:t xml:space="preserve"> are created by federal legislation (and are often subject to international treaties). Some rights arise automatically upon creation, while others are exercisable only upon registration.</w:t>
      </w:r>
    </w:p>
    <w:p w:rsidR="0084164C" w:rsidRDefault="00D5740A" w:rsidP="0002457B">
      <w:pPr>
        <w:pStyle w:val="Heading1"/>
      </w:pPr>
      <w:r>
        <w:lastRenderedPageBreak/>
        <w:t xml:space="preserve">Guiding </w:t>
      </w:r>
      <w:r w:rsidR="00A1131C">
        <w:t>p</w:t>
      </w:r>
      <w:r>
        <w:t>rinciples and obligations</w:t>
      </w:r>
    </w:p>
    <w:p w:rsidR="008E31D2" w:rsidRPr="008E31D2" w:rsidRDefault="008E31D2" w:rsidP="008E31D2">
      <w:r>
        <w:t>Agencies must adopt appropriate policies, procedures and practices to give ef</w:t>
      </w:r>
      <w:r w:rsidR="00957274">
        <w:t xml:space="preserve">fect to this policy addressing </w:t>
      </w:r>
      <w:r>
        <w:t>the following</w:t>
      </w:r>
      <w:r w:rsidR="00E63879">
        <w:t xml:space="preserve"> requirements</w:t>
      </w:r>
      <w:r>
        <w:t>:</w:t>
      </w:r>
      <w:r w:rsidR="00E63879">
        <w:br/>
      </w:r>
    </w:p>
    <w:tbl>
      <w:tblPr>
        <w:tblStyle w:val="TableGrid"/>
        <w:tblW w:w="8826" w:type="dxa"/>
        <w:tblInd w:w="426" w:type="dxa"/>
        <w:tblBorders>
          <w:top w:val="none" w:sz="0" w:space="0" w:color="auto"/>
          <w:left w:val="none" w:sz="0" w:space="0" w:color="auto"/>
          <w:bottom w:val="none" w:sz="0" w:space="0" w:color="auto"/>
          <w:right w:val="none" w:sz="0" w:space="0" w:color="auto"/>
          <w:insideH w:val="single" w:sz="4" w:space="0" w:color="808080" w:themeColor="background1" w:themeShade="80"/>
          <w:insideV w:val="none" w:sz="0" w:space="0" w:color="auto"/>
        </w:tblBorders>
        <w:tblLook w:val="04A0" w:firstRow="1" w:lastRow="0" w:firstColumn="1" w:lastColumn="0" w:noHBand="0" w:noVBand="1"/>
      </w:tblPr>
      <w:tblGrid>
        <w:gridCol w:w="2409"/>
        <w:gridCol w:w="6417"/>
      </w:tblGrid>
      <w:tr w:rsidR="00D5740A" w:rsidTr="007E65FA">
        <w:tc>
          <w:tcPr>
            <w:tcW w:w="2409" w:type="dxa"/>
          </w:tcPr>
          <w:p w:rsidR="00D5740A" w:rsidRPr="00AE08A9" w:rsidRDefault="00D5740A" w:rsidP="007E65FA">
            <w:pPr>
              <w:pStyle w:val="Table"/>
              <w:tabs>
                <w:tab w:val="right" w:pos="2647"/>
              </w:tabs>
            </w:pPr>
            <w:r w:rsidRPr="00AE08A9">
              <w:t>Ownership of assets</w:t>
            </w:r>
            <w:r w:rsidR="007E65FA">
              <w:tab/>
            </w:r>
          </w:p>
        </w:tc>
        <w:tc>
          <w:tcPr>
            <w:tcW w:w="6417" w:type="dxa"/>
          </w:tcPr>
          <w:p w:rsidR="00D5740A" w:rsidRDefault="009D6D0C" w:rsidP="00A45C51">
            <w:pPr>
              <w:pStyle w:val="TableLIstNumbered"/>
            </w:pPr>
            <w:r>
              <w:t xml:space="preserve">Generally, </w:t>
            </w:r>
            <w:r w:rsidR="000307EA">
              <w:t>IP</w:t>
            </w:r>
            <w:r w:rsidR="00D5740A">
              <w:t xml:space="preserve"> generated or acquired in the course of government business, or otherwise held by agencies, is to be owned by the government</w:t>
            </w:r>
            <w:r w:rsidR="00B9786D">
              <w:t>.</w:t>
            </w:r>
          </w:p>
          <w:p w:rsidR="009D6D0C" w:rsidRDefault="009D6D0C" w:rsidP="00A45C51">
            <w:pPr>
              <w:pStyle w:val="TableLIstNumbered"/>
            </w:pPr>
            <w:r>
              <w:t xml:space="preserve">In some cases where IP is generated by third parties under government contracts a broad licence for government to use IP will be legally sufficient without the need to own the IP </w:t>
            </w:r>
            <w:r w:rsidR="00B9786D">
              <w:t>(</w:t>
            </w:r>
            <w:r>
              <w:t>e.g. State Procurement Board standard goods and/or services agreement</w:t>
            </w:r>
            <w:r w:rsidR="00B9786D">
              <w:t>s)</w:t>
            </w:r>
            <w:r>
              <w:t xml:space="preserve"> </w:t>
            </w:r>
          </w:p>
          <w:p w:rsidR="00D5740A" w:rsidRDefault="00AE08A9" w:rsidP="00341E0A">
            <w:pPr>
              <w:pStyle w:val="TableLIstNumbered"/>
            </w:pPr>
            <w:r>
              <w:t>T</w:t>
            </w:r>
            <w:r w:rsidR="00D5740A" w:rsidRPr="00C121B4">
              <w:t xml:space="preserve">o facilitate collaborative work with third parties, joint ownership or negotiated </w:t>
            </w:r>
            <w:r w:rsidR="002F77AC">
              <w:t xml:space="preserve">rights to </w:t>
            </w:r>
            <w:r w:rsidR="00D5740A" w:rsidRPr="00C121B4">
              <w:t>access</w:t>
            </w:r>
            <w:r w:rsidR="002F77AC">
              <w:t xml:space="preserve"> or use work</w:t>
            </w:r>
            <w:r w:rsidR="00341E0A">
              <w:t xml:space="preserve"> may be considered</w:t>
            </w:r>
            <w:r w:rsidR="0057225C">
              <w:t>.</w:t>
            </w:r>
          </w:p>
        </w:tc>
      </w:tr>
      <w:tr w:rsidR="00503621" w:rsidTr="007E65FA">
        <w:tc>
          <w:tcPr>
            <w:tcW w:w="2409" w:type="dxa"/>
          </w:tcPr>
          <w:p w:rsidR="00503621" w:rsidRPr="007B0778" w:rsidRDefault="00503621" w:rsidP="00AE08A9">
            <w:pPr>
              <w:pStyle w:val="Table"/>
            </w:pPr>
            <w:r w:rsidRPr="007B0778">
              <w:t xml:space="preserve">Asset </w:t>
            </w:r>
            <w:r w:rsidR="008E31D2" w:rsidRPr="007B0778">
              <w:t>i</w:t>
            </w:r>
            <w:r w:rsidR="00CA13AE" w:rsidRPr="007B0778">
              <w:t xml:space="preserve">dentification, </w:t>
            </w:r>
            <w:r w:rsidR="008E31D2" w:rsidRPr="007B0778">
              <w:t>registration</w:t>
            </w:r>
            <w:r w:rsidR="00CA13AE" w:rsidRPr="007B0778">
              <w:t xml:space="preserve"> and review</w:t>
            </w:r>
          </w:p>
        </w:tc>
        <w:tc>
          <w:tcPr>
            <w:tcW w:w="6417" w:type="dxa"/>
          </w:tcPr>
          <w:p w:rsidR="002F77AC" w:rsidRPr="00AE08A9" w:rsidRDefault="0057225C" w:rsidP="002F77AC">
            <w:pPr>
              <w:pStyle w:val="TableLIstNumbered"/>
            </w:pPr>
            <w:r>
              <w:t>A</w:t>
            </w:r>
            <w:r w:rsidR="008E31D2" w:rsidRPr="00AE08A9">
              <w:t xml:space="preserve">gencies must adopt procedures </w:t>
            </w:r>
            <w:r w:rsidR="000307EA">
              <w:t>to</w:t>
            </w:r>
            <w:r w:rsidR="000307EA" w:rsidRPr="00AE08A9">
              <w:t xml:space="preserve"> identif</w:t>
            </w:r>
            <w:r w:rsidR="000307EA">
              <w:t>y</w:t>
            </w:r>
            <w:r w:rsidR="000307EA" w:rsidRPr="00AE08A9">
              <w:t xml:space="preserve"> </w:t>
            </w:r>
            <w:r w:rsidR="008E31D2" w:rsidRPr="00AE08A9">
              <w:t>and regist</w:t>
            </w:r>
            <w:r w:rsidR="000307EA">
              <w:t>e</w:t>
            </w:r>
            <w:r w:rsidR="008E31D2" w:rsidRPr="00AE08A9">
              <w:t xml:space="preserve">r </w:t>
            </w:r>
            <w:r w:rsidR="00803F1B">
              <w:t xml:space="preserve">government-owned </w:t>
            </w:r>
            <w:r w:rsidR="000307EA">
              <w:t>IP</w:t>
            </w:r>
            <w:r>
              <w:t>.</w:t>
            </w:r>
          </w:p>
          <w:p w:rsidR="002F77AC" w:rsidRDefault="002F77AC" w:rsidP="00A45C51">
            <w:pPr>
              <w:pStyle w:val="TableLIstNumbered"/>
            </w:pPr>
            <w:r>
              <w:t xml:space="preserve">Agencies must adopt procedures that identify IP rights within physical works. </w:t>
            </w:r>
          </w:p>
          <w:p w:rsidR="008E31D2" w:rsidRDefault="0057225C" w:rsidP="00A45C51">
            <w:pPr>
              <w:pStyle w:val="TableLIstNumbered"/>
            </w:pPr>
            <w:r>
              <w:t>A</w:t>
            </w:r>
            <w:r w:rsidR="008E31D2">
              <w:t xml:space="preserve">gencies must maintain a register of </w:t>
            </w:r>
            <w:r w:rsidR="000307EA">
              <w:t>IP</w:t>
            </w:r>
            <w:r w:rsidR="008E31D2">
              <w:t xml:space="preserve"> assets with significant commercial o</w:t>
            </w:r>
            <w:r w:rsidR="000307EA">
              <w:t>r</w:t>
            </w:r>
            <w:r w:rsidR="008E31D2">
              <w:t xml:space="preserve"> operational value</w:t>
            </w:r>
            <w:r w:rsidR="00CA13AE">
              <w:t xml:space="preserve">, </w:t>
            </w:r>
            <w:r w:rsidR="00341E0A">
              <w:t xml:space="preserve">detailing </w:t>
            </w:r>
            <w:r w:rsidR="00CA13AE">
              <w:t>ownership, licensing, protection and value</w:t>
            </w:r>
            <w:r>
              <w:t>.</w:t>
            </w:r>
            <w:r w:rsidR="00FA25BF">
              <w:t xml:space="preserve"> Copyright material is not required to be captured on the register. </w:t>
            </w:r>
          </w:p>
          <w:p w:rsidR="00CA13AE" w:rsidRDefault="0057225C" w:rsidP="002F77AC">
            <w:pPr>
              <w:pStyle w:val="TableLIstNumbered"/>
            </w:pPr>
            <w:r>
              <w:t>A</w:t>
            </w:r>
            <w:r w:rsidR="00CA13AE">
              <w:t>gencies must have process</w:t>
            </w:r>
            <w:r w:rsidR="000307EA">
              <w:t>es</w:t>
            </w:r>
            <w:r w:rsidR="00CA13AE">
              <w:t xml:space="preserve"> for periodic review of </w:t>
            </w:r>
            <w:r w:rsidR="000307EA">
              <w:t xml:space="preserve">IP </w:t>
            </w:r>
            <w:r w:rsidR="00CA13AE">
              <w:t xml:space="preserve">registration and evaluation of </w:t>
            </w:r>
            <w:r w:rsidR="002F77AC">
              <w:t xml:space="preserve">each asset’s </w:t>
            </w:r>
            <w:r w:rsidR="00CA13AE">
              <w:t>on</w:t>
            </w:r>
            <w:r w:rsidR="000307EA">
              <w:t>go</w:t>
            </w:r>
            <w:r w:rsidR="00CA13AE">
              <w:t>ing use and value</w:t>
            </w:r>
            <w:r>
              <w:t>.</w:t>
            </w:r>
          </w:p>
        </w:tc>
      </w:tr>
      <w:tr w:rsidR="00503621" w:rsidTr="007E65FA">
        <w:tc>
          <w:tcPr>
            <w:tcW w:w="2409" w:type="dxa"/>
          </w:tcPr>
          <w:p w:rsidR="00503621" w:rsidRPr="007B0778" w:rsidRDefault="000307EA" w:rsidP="000307EA">
            <w:pPr>
              <w:pStyle w:val="Table"/>
            </w:pPr>
            <w:r>
              <w:t>T</w:t>
            </w:r>
            <w:r w:rsidR="00503621" w:rsidRPr="007B0778">
              <w:t>raining and awareness</w:t>
            </w:r>
          </w:p>
        </w:tc>
        <w:tc>
          <w:tcPr>
            <w:tcW w:w="6417" w:type="dxa"/>
          </w:tcPr>
          <w:p w:rsidR="00503621" w:rsidRDefault="0057225C" w:rsidP="00A45C51">
            <w:pPr>
              <w:pStyle w:val="TableLIstNumbered"/>
            </w:pPr>
            <w:r>
              <w:t>A</w:t>
            </w:r>
            <w:r w:rsidR="008E31D2">
              <w:t>gencies must ensure staff, statutory office-holders, board/committee members, contractors and volunteers are aware of and trained in relevant procedures</w:t>
            </w:r>
            <w:r>
              <w:t>.</w:t>
            </w:r>
          </w:p>
        </w:tc>
      </w:tr>
      <w:tr w:rsidR="00503621" w:rsidTr="007E65FA">
        <w:tc>
          <w:tcPr>
            <w:tcW w:w="2409" w:type="dxa"/>
          </w:tcPr>
          <w:p w:rsidR="00503621" w:rsidRPr="007B0778" w:rsidRDefault="00503621" w:rsidP="000307EA">
            <w:pPr>
              <w:pStyle w:val="Table"/>
            </w:pPr>
            <w:r w:rsidRPr="007B0778">
              <w:t>Contracts</w:t>
            </w:r>
          </w:p>
        </w:tc>
        <w:tc>
          <w:tcPr>
            <w:tcW w:w="6417" w:type="dxa"/>
          </w:tcPr>
          <w:p w:rsidR="008E31D2" w:rsidRDefault="0057225C" w:rsidP="00A45C51">
            <w:pPr>
              <w:pStyle w:val="TableLIstNumbered"/>
            </w:pPr>
            <w:r>
              <w:t>A</w:t>
            </w:r>
            <w:r w:rsidR="008E31D2">
              <w:t xml:space="preserve">gencies must ensure all contracts and other legal documents with third parties </w:t>
            </w:r>
            <w:r w:rsidR="000307EA">
              <w:t xml:space="preserve">effectively </w:t>
            </w:r>
            <w:r w:rsidR="008E31D2">
              <w:t>addres</w:t>
            </w:r>
            <w:r w:rsidR="00D5740A">
              <w:t xml:space="preserve">s </w:t>
            </w:r>
            <w:r w:rsidR="000307EA">
              <w:t>IP</w:t>
            </w:r>
            <w:r>
              <w:t>.</w:t>
            </w:r>
          </w:p>
          <w:p w:rsidR="00D5740A" w:rsidRDefault="0057225C" w:rsidP="006447C2">
            <w:pPr>
              <w:pStyle w:val="TableLIstNumbered"/>
            </w:pPr>
            <w:r>
              <w:t>O</w:t>
            </w:r>
            <w:r w:rsidR="00D5740A" w:rsidRPr="00C121B4">
              <w:t xml:space="preserve">wnership of </w:t>
            </w:r>
            <w:r w:rsidR="000307EA">
              <w:t>IP</w:t>
            </w:r>
            <w:r w:rsidR="00D5740A" w:rsidRPr="00C121B4">
              <w:t xml:space="preserve"> should be specifically addressed whenever it may be generated or acquired (e</w:t>
            </w:r>
            <w:r w:rsidR="000307EA">
              <w:t>.</w:t>
            </w:r>
            <w:r w:rsidR="00D5740A" w:rsidRPr="00C121B4">
              <w:t>g</w:t>
            </w:r>
            <w:r w:rsidR="000307EA">
              <w:t>.</w:t>
            </w:r>
            <w:r w:rsidR="00D5740A" w:rsidRPr="00C121B4">
              <w:t xml:space="preserve"> </w:t>
            </w:r>
            <w:r w:rsidR="006447C2">
              <w:t xml:space="preserve">under terms of </w:t>
            </w:r>
            <w:r w:rsidR="00D5740A" w:rsidRPr="00C121B4">
              <w:t>employment</w:t>
            </w:r>
            <w:r w:rsidR="006447C2">
              <w:t xml:space="preserve"> or other contractual arrangements</w:t>
            </w:r>
            <w:r w:rsidR="00D5740A">
              <w:t>)</w:t>
            </w:r>
            <w:r>
              <w:t>.</w:t>
            </w:r>
          </w:p>
          <w:p w:rsidR="0051763D" w:rsidRDefault="0051763D" w:rsidP="006447C2">
            <w:pPr>
              <w:pStyle w:val="TableLIstNumbered"/>
            </w:pPr>
            <w:r>
              <w:t>If the agency will not hold ownership of the IP, access and reuse of that IP should be specifically addressed to maximise public value.</w:t>
            </w:r>
          </w:p>
        </w:tc>
      </w:tr>
      <w:tr w:rsidR="008E31D2" w:rsidRPr="00AE08A9" w:rsidTr="007E65FA">
        <w:tc>
          <w:tcPr>
            <w:tcW w:w="2409" w:type="dxa"/>
          </w:tcPr>
          <w:p w:rsidR="008E31D2" w:rsidRPr="00AE08A9" w:rsidRDefault="003D4322" w:rsidP="00AE08A9">
            <w:pPr>
              <w:pStyle w:val="Table"/>
            </w:pPr>
            <w:r>
              <w:t>Open access</w:t>
            </w:r>
          </w:p>
        </w:tc>
        <w:tc>
          <w:tcPr>
            <w:tcW w:w="6417" w:type="dxa"/>
          </w:tcPr>
          <w:p w:rsidR="008E31D2" w:rsidRPr="00AE08A9" w:rsidRDefault="0057225C" w:rsidP="00A45C51">
            <w:pPr>
              <w:pStyle w:val="TableLIstNumbered"/>
            </w:pPr>
            <w:r>
              <w:t>A</w:t>
            </w:r>
            <w:r w:rsidR="008E31D2" w:rsidRPr="00AE08A9">
              <w:t xml:space="preserve">gencies must comply with all relevant laws and policies in relation to </w:t>
            </w:r>
            <w:r w:rsidR="003D4322">
              <w:t>open access to government information and other IP assets</w:t>
            </w:r>
            <w:r>
              <w:t>.</w:t>
            </w:r>
          </w:p>
          <w:p w:rsidR="00D5740A" w:rsidRPr="00AE08A9" w:rsidRDefault="0057225C" w:rsidP="00A45C51">
            <w:pPr>
              <w:pStyle w:val="TableLIstNumbered"/>
            </w:pPr>
            <w:r>
              <w:t>Where appropriate, a</w:t>
            </w:r>
            <w:r w:rsidR="00A1131C" w:rsidRPr="00AE08A9">
              <w:t xml:space="preserve">gencies </w:t>
            </w:r>
            <w:r>
              <w:t xml:space="preserve">should </w:t>
            </w:r>
            <w:r w:rsidR="003D4322">
              <w:t xml:space="preserve">provide open access to </w:t>
            </w:r>
            <w:r w:rsidR="00B9786D">
              <w:t>non-sensitive government</w:t>
            </w:r>
            <w:r w:rsidR="003D4322">
              <w:t xml:space="preserve"> information or other IP assets</w:t>
            </w:r>
            <w:r w:rsidR="00D5740A" w:rsidRPr="00AE08A9">
              <w:t xml:space="preserve"> on a proactive basis</w:t>
            </w:r>
            <w:r w:rsidR="0002457B">
              <w:t xml:space="preserve">, particularly </w:t>
            </w:r>
            <w:r w:rsidR="00204D01">
              <w:t xml:space="preserve">if </w:t>
            </w:r>
            <w:r w:rsidR="0002457B">
              <w:t xml:space="preserve">this </w:t>
            </w:r>
            <w:r w:rsidR="00204D01">
              <w:t xml:space="preserve">may </w:t>
            </w:r>
            <w:r w:rsidR="0002457B">
              <w:t xml:space="preserve">generate </w:t>
            </w:r>
            <w:r w:rsidR="00AF1A4C">
              <w:t>public value</w:t>
            </w:r>
            <w:r w:rsidR="0002457B">
              <w:t>, knowledge transfer or innovation</w:t>
            </w:r>
            <w:r>
              <w:t>.</w:t>
            </w:r>
            <w:r w:rsidR="002F77AC">
              <w:t xml:space="preserve"> Where possible, information should be made available free of charge. </w:t>
            </w:r>
          </w:p>
          <w:p w:rsidR="002F77AC" w:rsidRPr="00AE08A9" w:rsidRDefault="003D4322" w:rsidP="00A45C51">
            <w:pPr>
              <w:pStyle w:val="TableLIstNumbered"/>
            </w:pPr>
            <w:r>
              <w:t>N</w:t>
            </w:r>
            <w:r w:rsidR="008E31D2" w:rsidRPr="00AE08A9">
              <w:t xml:space="preserve">on-sensitive </w:t>
            </w:r>
            <w:r>
              <w:t>government information</w:t>
            </w:r>
            <w:r w:rsidR="00454965">
              <w:t>, particularly research publications,</w:t>
            </w:r>
            <w:r>
              <w:t xml:space="preserve"> should be made available to the public </w:t>
            </w:r>
            <w:r w:rsidR="003307D7" w:rsidRPr="00AE08A9">
              <w:t>subject to Creative Commons</w:t>
            </w:r>
            <w:r w:rsidR="00E63879" w:rsidRPr="00AE08A9">
              <w:t xml:space="preserve"> 4.0</w:t>
            </w:r>
            <w:r w:rsidR="003307D7" w:rsidRPr="00AE08A9">
              <w:t xml:space="preserve"> </w:t>
            </w:r>
            <w:r w:rsidR="002F77AC">
              <w:t xml:space="preserve">international </w:t>
            </w:r>
            <w:r w:rsidR="003307D7" w:rsidRPr="00AE08A9">
              <w:t>licensing</w:t>
            </w:r>
            <w:r w:rsidR="0057225C">
              <w:t>.</w:t>
            </w:r>
          </w:p>
          <w:p w:rsidR="00957274" w:rsidRPr="00AE08A9" w:rsidRDefault="0057225C" w:rsidP="00BA2FF8">
            <w:pPr>
              <w:pStyle w:val="TableLIstNumbered"/>
            </w:pPr>
            <w:r>
              <w:t>A</w:t>
            </w:r>
            <w:r w:rsidR="00957274" w:rsidRPr="00AE08A9">
              <w:t xml:space="preserve">gencies must </w:t>
            </w:r>
            <w:r w:rsidR="003D4322">
              <w:t xml:space="preserve">consider whether open access </w:t>
            </w:r>
            <w:r w:rsidR="00BA2FF8">
              <w:t xml:space="preserve">to IP assets </w:t>
            </w:r>
            <w:r w:rsidR="00957274" w:rsidRPr="00AE08A9">
              <w:t>compromise</w:t>
            </w:r>
            <w:r w:rsidR="00BA2FF8">
              <w:t>s</w:t>
            </w:r>
            <w:r w:rsidR="00957274" w:rsidRPr="00AE08A9">
              <w:t xml:space="preserve"> its commercial or operational value</w:t>
            </w:r>
            <w:r>
              <w:t>.</w:t>
            </w:r>
          </w:p>
        </w:tc>
      </w:tr>
      <w:tr w:rsidR="00503621" w:rsidTr="007E65FA">
        <w:tc>
          <w:tcPr>
            <w:tcW w:w="2409" w:type="dxa"/>
          </w:tcPr>
          <w:p w:rsidR="00503621" w:rsidRPr="007B0778" w:rsidRDefault="008E31D2" w:rsidP="00AE08A9">
            <w:pPr>
              <w:pStyle w:val="Table"/>
            </w:pPr>
            <w:r w:rsidRPr="007B0778">
              <w:t>Use within government</w:t>
            </w:r>
          </w:p>
        </w:tc>
        <w:tc>
          <w:tcPr>
            <w:tcW w:w="6417" w:type="dxa"/>
          </w:tcPr>
          <w:p w:rsidR="00503621" w:rsidRDefault="0057225C" w:rsidP="00A45C51">
            <w:pPr>
              <w:pStyle w:val="TableLIstNumbered"/>
            </w:pPr>
            <w:r w:rsidRPr="00BA2FF8">
              <w:t>A</w:t>
            </w:r>
            <w:r w:rsidR="003307D7" w:rsidRPr="00BA2FF8">
              <w:t xml:space="preserve">gencies must seek to share non-sensitive </w:t>
            </w:r>
            <w:r w:rsidR="00803F1B" w:rsidRPr="00BA2FF8">
              <w:t xml:space="preserve">IP </w:t>
            </w:r>
            <w:r w:rsidR="003307D7" w:rsidRPr="00BA2FF8">
              <w:t>within government</w:t>
            </w:r>
            <w:r w:rsidR="0051763D">
              <w:t xml:space="preserve"> wherever possible,</w:t>
            </w:r>
            <w:r w:rsidR="003307D7" w:rsidRPr="00BA2FF8">
              <w:t xml:space="preserve"> subject only to other policies and procedures</w:t>
            </w:r>
            <w:r w:rsidR="0002457B" w:rsidRPr="00BA2FF8">
              <w:t xml:space="preserve"> (including data sharing policies)</w:t>
            </w:r>
            <w:r w:rsidRPr="00BA2FF8">
              <w:t>.</w:t>
            </w:r>
          </w:p>
          <w:p w:rsidR="0051763D" w:rsidRPr="00BA2FF8" w:rsidRDefault="0051763D" w:rsidP="00A45C51">
            <w:pPr>
              <w:pStyle w:val="TableLIstNumbered"/>
            </w:pPr>
            <w:r>
              <w:lastRenderedPageBreak/>
              <w:t xml:space="preserve">Sharing and use of government data between government agencies is governed by the </w:t>
            </w:r>
            <w:r>
              <w:rPr>
                <w:i/>
              </w:rPr>
              <w:t xml:space="preserve">Public Sector (Data Sharing) Act 2016. </w:t>
            </w:r>
          </w:p>
          <w:p w:rsidR="003307D7" w:rsidRPr="00BA2FF8" w:rsidRDefault="0057225C" w:rsidP="00803F1B">
            <w:pPr>
              <w:pStyle w:val="TableLIstNumbered"/>
            </w:pPr>
            <w:r w:rsidRPr="00BA2FF8">
              <w:t>A</w:t>
            </w:r>
            <w:r w:rsidR="003307D7" w:rsidRPr="00BA2FF8">
              <w:t>gencies must provide information to Ministers, Cabinet</w:t>
            </w:r>
            <w:r w:rsidR="00803F1B" w:rsidRPr="00BA2FF8">
              <w:t>, the Premier’s department and the Treasury</w:t>
            </w:r>
            <w:r w:rsidR="003307D7" w:rsidRPr="00BA2FF8">
              <w:t xml:space="preserve"> in relation to </w:t>
            </w:r>
            <w:r w:rsidR="00C27B20" w:rsidRPr="00BA2FF8">
              <w:t>IP</w:t>
            </w:r>
            <w:r w:rsidR="003307D7" w:rsidRPr="00BA2FF8">
              <w:t xml:space="preserve"> held by them</w:t>
            </w:r>
            <w:r w:rsidR="0051763D">
              <w:t xml:space="preserve"> upon request</w:t>
            </w:r>
            <w:r w:rsidRPr="00BA2FF8">
              <w:t>.</w:t>
            </w:r>
          </w:p>
        </w:tc>
      </w:tr>
      <w:tr w:rsidR="00503621" w:rsidTr="007E65FA">
        <w:tc>
          <w:tcPr>
            <w:tcW w:w="2409" w:type="dxa"/>
          </w:tcPr>
          <w:p w:rsidR="00503621" w:rsidRPr="007B0778" w:rsidRDefault="008E31D2" w:rsidP="00AE08A9">
            <w:pPr>
              <w:pStyle w:val="Table"/>
            </w:pPr>
            <w:r w:rsidRPr="007B0778">
              <w:lastRenderedPageBreak/>
              <w:t>Use</w:t>
            </w:r>
            <w:r w:rsidR="00503621" w:rsidRPr="007B0778">
              <w:t xml:space="preserve"> for commercial benefit</w:t>
            </w:r>
          </w:p>
        </w:tc>
        <w:tc>
          <w:tcPr>
            <w:tcW w:w="6417" w:type="dxa"/>
          </w:tcPr>
          <w:p w:rsidR="00A1131C" w:rsidRPr="00BA2FF8" w:rsidRDefault="0057225C" w:rsidP="00A45C51">
            <w:pPr>
              <w:pStyle w:val="TableLIstNumbered"/>
            </w:pPr>
            <w:r w:rsidRPr="00BA2FF8">
              <w:t>A</w:t>
            </w:r>
            <w:r w:rsidR="00A1131C" w:rsidRPr="00BA2FF8">
              <w:t xml:space="preserve">gencies may </w:t>
            </w:r>
            <w:r w:rsidR="00BA2FF8" w:rsidRPr="00357BB7">
              <w:t xml:space="preserve">commercialise </w:t>
            </w:r>
            <w:r w:rsidR="00A1131C" w:rsidRPr="00BA2FF8">
              <w:t xml:space="preserve">government-owned </w:t>
            </w:r>
            <w:r w:rsidR="00C27B20" w:rsidRPr="00BA2FF8">
              <w:t>IP</w:t>
            </w:r>
            <w:r w:rsidR="00A1131C" w:rsidRPr="004F2C67">
              <w:t xml:space="preserve"> if </w:t>
            </w:r>
            <w:r w:rsidR="00BA2FF8" w:rsidRPr="00357BB7">
              <w:t>the benefit of commercialisation outweighs the benefit to the public of open access to the government-owned IP</w:t>
            </w:r>
            <w:r w:rsidRPr="00BA2FF8">
              <w:t>.</w:t>
            </w:r>
            <w:r w:rsidR="002F77AC">
              <w:t xml:space="preserve"> Consideration must be given to government strategic priorities, policies and procedures in determining this. </w:t>
            </w:r>
          </w:p>
          <w:p w:rsidR="00503621" w:rsidRPr="00BA2FF8" w:rsidRDefault="0057225C" w:rsidP="00A45C51">
            <w:pPr>
              <w:pStyle w:val="TableLIstNumbered"/>
            </w:pPr>
            <w:r w:rsidRPr="00BA2FF8">
              <w:t>A</w:t>
            </w:r>
            <w:r w:rsidR="003307D7" w:rsidRPr="00BA2FF8">
              <w:t>gencies may</w:t>
            </w:r>
            <w:r w:rsidR="00E21ABC" w:rsidRPr="00BA2FF8">
              <w:t>, for valuable consideration (such as a regular royalty, equity or other in-kind contribution),</w:t>
            </w:r>
            <w:r w:rsidR="003307D7" w:rsidRPr="00BA2FF8">
              <w:t xml:space="preserve"> </w:t>
            </w:r>
            <w:r w:rsidR="00A1131C" w:rsidRPr="00BA2FF8">
              <w:t xml:space="preserve">assign or </w:t>
            </w:r>
            <w:r w:rsidR="001E1046">
              <w:t>licens</w:t>
            </w:r>
            <w:r w:rsidR="003307D7" w:rsidRPr="00BA2FF8">
              <w:t xml:space="preserve">e government-owned </w:t>
            </w:r>
            <w:r w:rsidR="00C27B20" w:rsidRPr="00BA2FF8">
              <w:t>IP</w:t>
            </w:r>
            <w:r w:rsidR="003307D7" w:rsidRPr="00BA2FF8">
              <w:t xml:space="preserve"> </w:t>
            </w:r>
            <w:r w:rsidR="00E63879" w:rsidRPr="00BA2FF8">
              <w:t xml:space="preserve">on </w:t>
            </w:r>
            <w:r w:rsidR="006447C2" w:rsidRPr="00BA2FF8">
              <w:t xml:space="preserve">either </w:t>
            </w:r>
            <w:r w:rsidR="00E63879" w:rsidRPr="00BA2FF8">
              <w:t xml:space="preserve">an exclusive </w:t>
            </w:r>
            <w:r w:rsidR="006447C2" w:rsidRPr="00BA2FF8">
              <w:t xml:space="preserve">or non-exclusive </w:t>
            </w:r>
            <w:r w:rsidR="00E63879" w:rsidRPr="00BA2FF8">
              <w:t xml:space="preserve">basis </w:t>
            </w:r>
            <w:r w:rsidR="003307D7" w:rsidRPr="00BA2FF8">
              <w:t>to third parties for commercial exploitation</w:t>
            </w:r>
            <w:r w:rsidR="00B9786D">
              <w:t>,</w:t>
            </w:r>
            <w:r w:rsidR="003307D7" w:rsidRPr="00BA2FF8">
              <w:t xml:space="preserve"> where to do so would optimise </w:t>
            </w:r>
            <w:r w:rsidR="00AF1A4C" w:rsidRPr="00BA2FF8">
              <w:t>public value</w:t>
            </w:r>
            <w:r w:rsidR="003307D7" w:rsidRPr="00BA2FF8">
              <w:t xml:space="preserve"> or foster innovation</w:t>
            </w:r>
            <w:r w:rsidRPr="00BA2FF8">
              <w:t>.</w:t>
            </w:r>
          </w:p>
          <w:p w:rsidR="003307D7" w:rsidRPr="00BA2FF8" w:rsidRDefault="0057225C" w:rsidP="00A45C51">
            <w:pPr>
              <w:pStyle w:val="TableLIstNumbered"/>
            </w:pPr>
            <w:r w:rsidRPr="00BA2FF8">
              <w:t>L</w:t>
            </w:r>
            <w:r w:rsidR="003307D7" w:rsidRPr="00BA2FF8">
              <w:t xml:space="preserve">icensing of government-owned </w:t>
            </w:r>
            <w:r w:rsidR="00C27B20" w:rsidRPr="00BA2FF8">
              <w:t>IP</w:t>
            </w:r>
            <w:r w:rsidR="003307D7" w:rsidRPr="00BA2FF8">
              <w:t xml:space="preserve"> to third parties must be done through a fair, transparent and accountable process</w:t>
            </w:r>
            <w:r w:rsidR="00E63879" w:rsidRPr="00BA2FF8">
              <w:t xml:space="preserve"> and documented in legally binding agreements</w:t>
            </w:r>
            <w:r w:rsidRPr="00BA2FF8">
              <w:t>.</w:t>
            </w:r>
          </w:p>
          <w:p w:rsidR="0057225C" w:rsidRPr="00BA2FF8" w:rsidRDefault="0057225C" w:rsidP="00A45C51">
            <w:pPr>
              <w:pStyle w:val="TableLIstNumbered"/>
            </w:pPr>
            <w:r w:rsidRPr="00BA2FF8">
              <w:t>W</w:t>
            </w:r>
            <w:r w:rsidR="00A1131C" w:rsidRPr="00BA2FF8">
              <w:t>here a decis</w:t>
            </w:r>
            <w:r w:rsidR="001E1046">
              <w:t>ion is taken to assign or licens</w:t>
            </w:r>
            <w:r w:rsidR="00A1131C" w:rsidRPr="00BA2FF8">
              <w:t xml:space="preserve">e government-owned </w:t>
            </w:r>
            <w:r w:rsidR="00C27B20" w:rsidRPr="00BA2FF8">
              <w:t xml:space="preserve">IP </w:t>
            </w:r>
            <w:r w:rsidR="00A1131C" w:rsidRPr="00BA2FF8">
              <w:t>to a third party for commercial exploitation, agencies must ensure that associated risks and costs are borne by that third party to the fullest practicable extent</w:t>
            </w:r>
            <w:r w:rsidRPr="00BA2FF8">
              <w:t>.</w:t>
            </w:r>
          </w:p>
          <w:p w:rsidR="00204D01" w:rsidRDefault="00204D01" w:rsidP="00C27B20">
            <w:pPr>
              <w:pStyle w:val="TableLIstNumbered"/>
            </w:pPr>
            <w:r w:rsidRPr="00BA2FF8">
              <w:t xml:space="preserve">Commercial return to agencies from </w:t>
            </w:r>
            <w:r w:rsidR="00C27B20" w:rsidRPr="00BA2FF8">
              <w:t>IP</w:t>
            </w:r>
            <w:r w:rsidRPr="00BA2FF8">
              <w:t xml:space="preserve"> may come in the form of upfront or deferred payments, periodic royalties or other consideration. The costs of commercial exploitation must be met from its net commercial returns.</w:t>
            </w:r>
          </w:p>
          <w:p w:rsidR="00454965" w:rsidRPr="00BA2FF8" w:rsidRDefault="00454965" w:rsidP="00454965">
            <w:pPr>
              <w:pStyle w:val="TableLIstNumbered"/>
            </w:pPr>
            <w:r>
              <w:t xml:space="preserve">Current or former staff may also be granted an assignment of IP or a licence to commercially exploit IP, where to do so would optimise public value or foster innovation, subject to no less than 5 per cent net return to government. Current staff should only be granted an assignment of IP or a licence to commercially exploit IP if conflicts of interest can be avoided. </w:t>
            </w:r>
          </w:p>
        </w:tc>
      </w:tr>
      <w:tr w:rsidR="00503621" w:rsidTr="007E65FA">
        <w:tc>
          <w:tcPr>
            <w:tcW w:w="2409" w:type="dxa"/>
          </w:tcPr>
          <w:p w:rsidR="00503621" w:rsidRPr="007B0778" w:rsidRDefault="00503621" w:rsidP="00AE08A9">
            <w:pPr>
              <w:pStyle w:val="Table"/>
            </w:pPr>
            <w:r w:rsidRPr="007B0778">
              <w:t>Staff incentives and rewards</w:t>
            </w:r>
          </w:p>
        </w:tc>
        <w:tc>
          <w:tcPr>
            <w:tcW w:w="6417" w:type="dxa"/>
          </w:tcPr>
          <w:p w:rsidR="00503621" w:rsidRDefault="0057225C" w:rsidP="00A45C51">
            <w:pPr>
              <w:pStyle w:val="TableLIstNumbered"/>
            </w:pPr>
            <w:r>
              <w:t>R</w:t>
            </w:r>
            <w:r w:rsidR="00587F2A">
              <w:t xml:space="preserve">ecognising that, by generating, developing and applying </w:t>
            </w:r>
            <w:r w:rsidR="00C27B20">
              <w:t>IP</w:t>
            </w:r>
            <w:r w:rsidR="00587F2A">
              <w:t>, agency staff can contribute to the State’s prosperity, agencies may provide for appropriate staff incentives and rewards</w:t>
            </w:r>
            <w:r>
              <w:t>.</w:t>
            </w:r>
          </w:p>
          <w:p w:rsidR="00587F2A" w:rsidRDefault="0057225C" w:rsidP="00A45C51">
            <w:pPr>
              <w:pStyle w:val="TableLIstNumbered"/>
            </w:pPr>
            <w:r>
              <w:t>A</w:t>
            </w:r>
            <w:r w:rsidR="00587F2A">
              <w:t xml:space="preserve">gencies are to ensure staff are entitled to acknowledgment and protection of their moral rights in </w:t>
            </w:r>
            <w:r w:rsidR="006447C2">
              <w:t xml:space="preserve">copyright </w:t>
            </w:r>
            <w:r w:rsidR="00587F2A">
              <w:t>works (particularly</w:t>
            </w:r>
            <w:r w:rsidR="002F77AC">
              <w:t xml:space="preserve"> recognition of the author(s) of</w:t>
            </w:r>
            <w:r w:rsidR="00587F2A">
              <w:t xml:space="preserve"> research work)</w:t>
            </w:r>
            <w:r>
              <w:t>.</w:t>
            </w:r>
          </w:p>
          <w:p w:rsidR="00122121" w:rsidRDefault="001753E8" w:rsidP="00A45C51">
            <w:pPr>
              <w:pStyle w:val="TableLIstNumbered"/>
            </w:pPr>
            <w:r>
              <w:t>The responsibl</w:t>
            </w:r>
            <w:r w:rsidR="00122121">
              <w:t xml:space="preserve">e portfolio Minister may adopt a </w:t>
            </w:r>
            <w:r>
              <w:t xml:space="preserve">monetary </w:t>
            </w:r>
            <w:r w:rsidR="00587F2A">
              <w:t>rewards</w:t>
            </w:r>
            <w:r>
              <w:t xml:space="preserve"> framework</w:t>
            </w:r>
            <w:r w:rsidR="00122121">
              <w:t xml:space="preserve">, allowing for monetary rewards to be awarded to agency staff </w:t>
            </w:r>
            <w:r w:rsidR="001F2C19">
              <w:t xml:space="preserve">responsible for generating, developing and applying IP. This would allow monetary rewards at </w:t>
            </w:r>
            <w:r w:rsidR="00A127BB">
              <w:t xml:space="preserve">the discretion of the relevant agency </w:t>
            </w:r>
            <w:r w:rsidR="00C27B20">
              <w:t>C</w:t>
            </w:r>
            <w:r w:rsidR="00A127BB">
              <w:t xml:space="preserve">hief </w:t>
            </w:r>
            <w:r w:rsidR="00C27B20">
              <w:t>E</w:t>
            </w:r>
            <w:r w:rsidR="00A127BB">
              <w:t>xecutive</w:t>
            </w:r>
            <w:r w:rsidR="001F2C19">
              <w:t>,</w:t>
            </w:r>
            <w:r w:rsidR="00122121">
              <w:t xml:space="preserve"> </w:t>
            </w:r>
            <w:r w:rsidR="001F2C19">
              <w:t>provided</w:t>
            </w:r>
            <w:r w:rsidR="00122121">
              <w:t>:</w:t>
            </w:r>
          </w:p>
          <w:p w:rsidR="00122121" w:rsidRPr="00122121" w:rsidRDefault="00122121" w:rsidP="00906847">
            <w:pPr>
              <w:pStyle w:val="ListParagraph"/>
            </w:pPr>
            <w:r w:rsidRPr="00122121">
              <w:rPr>
                <w:sz w:val="20"/>
                <w:szCs w:val="20"/>
              </w:rPr>
              <w:t xml:space="preserve">Expert </w:t>
            </w:r>
            <w:r w:rsidR="00803F1B" w:rsidRPr="00122121">
              <w:rPr>
                <w:sz w:val="20"/>
                <w:szCs w:val="20"/>
              </w:rPr>
              <w:t>input</w:t>
            </w:r>
            <w:r w:rsidR="00A127BB" w:rsidRPr="00122121">
              <w:rPr>
                <w:sz w:val="20"/>
                <w:szCs w:val="20"/>
              </w:rPr>
              <w:t xml:space="preserve"> </w:t>
            </w:r>
            <w:r w:rsidRPr="00122121">
              <w:rPr>
                <w:sz w:val="20"/>
                <w:szCs w:val="20"/>
              </w:rPr>
              <w:t>is obtained</w:t>
            </w:r>
            <w:r w:rsidR="001F2C19">
              <w:rPr>
                <w:sz w:val="20"/>
                <w:szCs w:val="20"/>
              </w:rPr>
              <w:t xml:space="preserve"> (see 34-36 below)</w:t>
            </w:r>
          </w:p>
          <w:p w:rsidR="00122121" w:rsidRPr="00122121" w:rsidRDefault="00122121" w:rsidP="00906847">
            <w:pPr>
              <w:pStyle w:val="ListParagraph"/>
            </w:pPr>
            <w:r w:rsidRPr="00122121">
              <w:rPr>
                <w:sz w:val="20"/>
                <w:szCs w:val="20"/>
              </w:rPr>
              <w:t xml:space="preserve">Rewards do not </w:t>
            </w:r>
            <w:r w:rsidR="00587F2A" w:rsidRPr="00122121">
              <w:rPr>
                <w:sz w:val="20"/>
                <w:szCs w:val="20"/>
              </w:rPr>
              <w:t xml:space="preserve">exceed a third of </w:t>
            </w:r>
            <w:r w:rsidR="0057225C" w:rsidRPr="00122121">
              <w:rPr>
                <w:sz w:val="20"/>
                <w:szCs w:val="20"/>
              </w:rPr>
              <w:t>any net financial returns</w:t>
            </w:r>
          </w:p>
          <w:p w:rsidR="00587F2A" w:rsidRPr="00122121" w:rsidRDefault="00122121" w:rsidP="00906847">
            <w:pPr>
              <w:pStyle w:val="ListParagraph"/>
            </w:pPr>
            <w:r w:rsidRPr="00122121">
              <w:rPr>
                <w:sz w:val="20"/>
                <w:szCs w:val="20"/>
              </w:rPr>
              <w:t>Rewards comply with the financial thresholds set out in Treasurer’s Instruction 8</w:t>
            </w:r>
            <w:r w:rsidR="0057225C" w:rsidRPr="00122121">
              <w:rPr>
                <w:sz w:val="20"/>
                <w:szCs w:val="20"/>
              </w:rPr>
              <w:t>.</w:t>
            </w:r>
          </w:p>
          <w:p w:rsidR="00E63879" w:rsidRDefault="0057225C" w:rsidP="00A45C51">
            <w:pPr>
              <w:pStyle w:val="TableLIstNumbered"/>
            </w:pPr>
            <w:r>
              <w:t>S</w:t>
            </w:r>
            <w:r w:rsidR="00587F2A">
              <w:t xml:space="preserve">taff incentives and </w:t>
            </w:r>
            <w:r w:rsidR="00587F2A" w:rsidRPr="00C121B4">
              <w:t xml:space="preserve">rewards should be managed in ways that </w:t>
            </w:r>
            <w:r>
              <w:t xml:space="preserve">are fair and equitable and </w:t>
            </w:r>
            <w:r w:rsidR="00587F2A" w:rsidRPr="00C121B4">
              <w:t>maintain the integrity of government decision-making</w:t>
            </w:r>
            <w:r>
              <w:t xml:space="preserve"> and administration.</w:t>
            </w:r>
          </w:p>
          <w:p w:rsidR="00593D31" w:rsidRDefault="0057225C" w:rsidP="00A45C51">
            <w:pPr>
              <w:pStyle w:val="TableLIstNumbered"/>
            </w:pPr>
            <w:r>
              <w:t>S</w:t>
            </w:r>
            <w:r w:rsidR="00593D31">
              <w:t>taff incentives and r</w:t>
            </w:r>
            <w:r w:rsidR="00593D31" w:rsidRPr="00365185">
              <w:t xml:space="preserve">ewards may continue after the eligible employee has left </w:t>
            </w:r>
            <w:r w:rsidR="00593D31">
              <w:t>government employ and may also accrue to the estate of a deceased staff member</w:t>
            </w:r>
            <w:r>
              <w:t>.</w:t>
            </w:r>
          </w:p>
        </w:tc>
      </w:tr>
      <w:tr w:rsidR="008E31D2" w:rsidTr="007E65FA">
        <w:tc>
          <w:tcPr>
            <w:tcW w:w="2409" w:type="dxa"/>
          </w:tcPr>
          <w:p w:rsidR="008E31D2" w:rsidRPr="007B0778" w:rsidRDefault="008E31D2" w:rsidP="00AE08A9">
            <w:pPr>
              <w:pStyle w:val="Table"/>
            </w:pPr>
            <w:r w:rsidRPr="007B0778">
              <w:lastRenderedPageBreak/>
              <w:t>Asset protection</w:t>
            </w:r>
          </w:p>
        </w:tc>
        <w:tc>
          <w:tcPr>
            <w:tcW w:w="6417" w:type="dxa"/>
          </w:tcPr>
          <w:p w:rsidR="00E63879" w:rsidRDefault="00341E0A" w:rsidP="00803F1B">
            <w:pPr>
              <w:pStyle w:val="TableLIstNumbered"/>
            </w:pPr>
            <w:r>
              <w:t>A</w:t>
            </w:r>
            <w:r w:rsidR="00E63879">
              <w:t>ppropriate action</w:t>
            </w:r>
            <w:r>
              <w:t xml:space="preserve"> must be taken</w:t>
            </w:r>
            <w:r w:rsidR="00E63879">
              <w:t xml:space="preserve"> to protect commercial or operational value of </w:t>
            </w:r>
            <w:r w:rsidR="00C27B20">
              <w:t>IP</w:t>
            </w:r>
            <w:r w:rsidR="00E63879">
              <w:t xml:space="preserve"> and to optimise </w:t>
            </w:r>
            <w:r w:rsidR="00AF1A4C">
              <w:t>public value</w:t>
            </w:r>
            <w:r w:rsidR="00803F1B">
              <w:t xml:space="preserve"> (including through </w:t>
            </w:r>
            <w:r w:rsidR="00E63879">
              <w:t>registration</w:t>
            </w:r>
            <w:r w:rsidR="00CA13AE">
              <w:t xml:space="preserve">, and renewal of </w:t>
            </w:r>
            <w:r w:rsidR="00E63879">
              <w:t xml:space="preserve">patents, designs, </w:t>
            </w:r>
            <w:r w:rsidR="00A1131C">
              <w:t xml:space="preserve">trademarks </w:t>
            </w:r>
            <w:r w:rsidR="00E63879">
              <w:t xml:space="preserve">and other registrable </w:t>
            </w:r>
            <w:r w:rsidR="00C27B20">
              <w:t>IP</w:t>
            </w:r>
            <w:r w:rsidR="00881F54">
              <w:t>)</w:t>
            </w:r>
            <w:r w:rsidR="0057225C">
              <w:t>.</w:t>
            </w:r>
          </w:p>
          <w:p w:rsidR="00E63879" w:rsidRDefault="0057225C" w:rsidP="00A45C51">
            <w:pPr>
              <w:pStyle w:val="TableLIstNumbered"/>
            </w:pPr>
            <w:r>
              <w:t>A</w:t>
            </w:r>
            <w:r w:rsidR="00E63879">
              <w:t xml:space="preserve">gencies must adopt procedures for </w:t>
            </w:r>
            <w:r w:rsidR="006447C2">
              <w:t xml:space="preserve">protection and </w:t>
            </w:r>
            <w:r w:rsidR="00E63879">
              <w:t xml:space="preserve">enforcement of </w:t>
            </w:r>
            <w:r w:rsidR="006447C2">
              <w:t xml:space="preserve">IP </w:t>
            </w:r>
            <w:r w:rsidR="00E63879">
              <w:t>with commercial or operational value</w:t>
            </w:r>
            <w:r>
              <w:t>.</w:t>
            </w:r>
          </w:p>
          <w:p w:rsidR="008E31D2" w:rsidRDefault="0057225C" w:rsidP="006447C2">
            <w:pPr>
              <w:pStyle w:val="TableLIstNumbered"/>
            </w:pPr>
            <w:r>
              <w:t>A</w:t>
            </w:r>
            <w:r w:rsidR="008821DF">
              <w:t xml:space="preserve">gencies must adopt procedures to avoid premature disclosure </w:t>
            </w:r>
            <w:r w:rsidR="006447C2">
              <w:t xml:space="preserve">where that may result in a diminution in the value of the </w:t>
            </w:r>
            <w:r w:rsidR="00341E0A">
              <w:t>IP</w:t>
            </w:r>
            <w:r>
              <w:t>.</w:t>
            </w:r>
          </w:p>
        </w:tc>
      </w:tr>
      <w:tr w:rsidR="008821DF" w:rsidTr="007E65FA">
        <w:tc>
          <w:tcPr>
            <w:tcW w:w="2409" w:type="dxa"/>
          </w:tcPr>
          <w:p w:rsidR="008821DF" w:rsidRPr="007B0778" w:rsidRDefault="008821DF" w:rsidP="00AE08A9">
            <w:pPr>
              <w:pStyle w:val="Table"/>
            </w:pPr>
            <w:r w:rsidRPr="007B0778">
              <w:t>Expert input</w:t>
            </w:r>
          </w:p>
        </w:tc>
        <w:tc>
          <w:tcPr>
            <w:tcW w:w="6417" w:type="dxa"/>
          </w:tcPr>
          <w:p w:rsidR="008821DF" w:rsidRDefault="0057225C" w:rsidP="00A45C51">
            <w:pPr>
              <w:pStyle w:val="TableLIstNumbered"/>
            </w:pPr>
            <w:r>
              <w:t>A</w:t>
            </w:r>
            <w:r w:rsidR="008821DF">
              <w:t xml:space="preserve">gencies must seek </w:t>
            </w:r>
            <w:r w:rsidR="00C27B20">
              <w:t xml:space="preserve">and document </w:t>
            </w:r>
            <w:r w:rsidR="008821DF">
              <w:t xml:space="preserve">appropriate legal, commercial and technical advice in relation to their policies, procedures and practices and significant decisions relating to </w:t>
            </w:r>
            <w:r w:rsidR="00C27B20">
              <w:t>IP</w:t>
            </w:r>
            <w:r>
              <w:t>.</w:t>
            </w:r>
          </w:p>
          <w:p w:rsidR="008821DF" w:rsidRDefault="0057225C" w:rsidP="00803F1B">
            <w:pPr>
              <w:pStyle w:val="TableLIstNumbered"/>
            </w:pPr>
            <w:r>
              <w:t>E</w:t>
            </w:r>
            <w:r w:rsidR="008821DF">
              <w:t xml:space="preserve">xpert input may include advice from the Crown Solicitor, </w:t>
            </w:r>
            <w:r w:rsidR="00CA13AE">
              <w:t xml:space="preserve">patent attorneys, </w:t>
            </w:r>
            <w:r w:rsidR="008821DF">
              <w:t>commercial advisers or consultants, technical advisers or consultants</w:t>
            </w:r>
            <w:r w:rsidR="00CA13AE">
              <w:t xml:space="preserve"> </w:t>
            </w:r>
            <w:r w:rsidR="008821DF">
              <w:t>or other agencies with specialised knowledge or expertise</w:t>
            </w:r>
            <w:r>
              <w:t>.</w:t>
            </w:r>
          </w:p>
          <w:p w:rsidR="00803F1B" w:rsidRDefault="00A84EA1" w:rsidP="00803F1B">
            <w:pPr>
              <w:pStyle w:val="TableLIstNumbered"/>
            </w:pPr>
            <w:r>
              <w:t xml:space="preserve">Agencies must not make a decision to assign or license IP to a third party under commercial arrangements, or offer staff incentives or rewards, without input from an expert panel including representation from the Crown Solicitor’s Office and a commercial expert. If the decision involves monetary rewards or assigning or licensing IP to a current or former public sector employee, the panel must include a commercial expert from a separate agency. The advice of an expert panel is not required for </w:t>
            </w:r>
            <w:r>
              <w:rPr>
                <w:rFonts w:cs="Arial"/>
              </w:rPr>
              <w:t>licensing of data to use in aggregated national datasets</w:t>
            </w:r>
          </w:p>
        </w:tc>
      </w:tr>
      <w:tr w:rsidR="0002457B" w:rsidTr="007E65FA">
        <w:tc>
          <w:tcPr>
            <w:tcW w:w="2409" w:type="dxa"/>
          </w:tcPr>
          <w:p w:rsidR="0002457B" w:rsidRPr="007B0778" w:rsidRDefault="0002457B" w:rsidP="00AE08A9">
            <w:pPr>
              <w:pStyle w:val="Table"/>
            </w:pPr>
            <w:r>
              <w:t>Classes of intellectual property</w:t>
            </w:r>
          </w:p>
        </w:tc>
        <w:tc>
          <w:tcPr>
            <w:tcW w:w="6417" w:type="dxa"/>
          </w:tcPr>
          <w:p w:rsidR="0002457B" w:rsidRPr="00A45C51" w:rsidRDefault="0002457B" w:rsidP="00C27B20">
            <w:pPr>
              <w:pStyle w:val="TableLIstNumbered"/>
            </w:pPr>
            <w:r w:rsidRPr="00A45C51">
              <w:t xml:space="preserve">It is open to agencies to adopt general policies, procedures and practices for specific types of </w:t>
            </w:r>
            <w:r w:rsidR="00C27B20">
              <w:t>IP</w:t>
            </w:r>
            <w:r w:rsidRPr="00A45C51">
              <w:t xml:space="preserve"> routinely arising as part of that agency’s business.</w:t>
            </w:r>
          </w:p>
        </w:tc>
      </w:tr>
    </w:tbl>
    <w:p w:rsidR="0002457B" w:rsidRDefault="00341E0A" w:rsidP="0002457B">
      <w:r>
        <w:t xml:space="preserve">Agencies must take care </w:t>
      </w:r>
      <w:r w:rsidR="00204D01">
        <w:t xml:space="preserve">to consider the risks commercialisation may expose government </w:t>
      </w:r>
      <w:r>
        <w:t xml:space="preserve">to </w:t>
      </w:r>
      <w:r w:rsidR="00204D01">
        <w:t>in choosing the most appropriate vehicle for commercialisation.</w:t>
      </w:r>
      <w:r>
        <w:t xml:space="preserve"> </w:t>
      </w:r>
      <w:r w:rsidR="003F3855">
        <w:t>A</w:t>
      </w:r>
      <w:r w:rsidR="0002457B">
        <w:t xml:space="preserve">gencies must not </w:t>
      </w:r>
      <w:r w:rsidR="00204D01">
        <w:t>engage in</w:t>
      </w:r>
      <w:r w:rsidR="0002457B">
        <w:t xml:space="preserve"> direct equity investment in start-up businesses unless undertaken through the SA Venture Capital Fund, as part of a cooperative research centre or with Cabinet approval.</w:t>
      </w:r>
    </w:p>
    <w:p w:rsidR="0002457B" w:rsidRDefault="0002457B" w:rsidP="0002457B">
      <w:r w:rsidRPr="00365185">
        <w:t xml:space="preserve">The application of any surplus revenue </w:t>
      </w:r>
      <w:r>
        <w:t xml:space="preserve">from commercial exploitation of </w:t>
      </w:r>
      <w:r w:rsidR="003F3855">
        <w:t>IP</w:t>
      </w:r>
      <w:r>
        <w:t xml:space="preserve"> </w:t>
      </w:r>
      <w:r w:rsidRPr="00365185">
        <w:t>must be negotiated between the agency and the Department of Tre</w:t>
      </w:r>
      <w:r>
        <w:t>asury and Finance under normal g</w:t>
      </w:r>
      <w:r w:rsidRPr="00365185">
        <w:t>overnment financial management practices.</w:t>
      </w:r>
    </w:p>
    <w:p w:rsidR="0002457B" w:rsidRDefault="0002457B" w:rsidP="0002457B">
      <w:pPr>
        <w:pStyle w:val="Heading1"/>
      </w:pPr>
      <w:r>
        <w:t>Related policies and legislation</w:t>
      </w:r>
    </w:p>
    <w:p w:rsidR="0002457B" w:rsidRDefault="003F3855" w:rsidP="003F3855">
      <w:r>
        <w:t>The use of IP remains subject to other government policies, procedures and practices as well as relevant legislation, which</w:t>
      </w:r>
      <w:r w:rsidR="0002457B">
        <w:t xml:space="preserve"> include:</w:t>
      </w:r>
      <w:r w:rsidR="0002457B">
        <w:br/>
      </w:r>
    </w:p>
    <w:p w:rsidR="0002457B" w:rsidRDefault="0002457B" w:rsidP="0002457B">
      <w:pPr>
        <w:sectPr w:rsidR="0002457B" w:rsidSect="0002457B">
          <w:headerReference w:type="even" r:id="rId13"/>
          <w:headerReference w:type="default" r:id="rId14"/>
          <w:footerReference w:type="default" r:id="rId15"/>
          <w:headerReference w:type="first" r:id="rId16"/>
          <w:footerReference w:type="first" r:id="rId17"/>
          <w:type w:val="continuous"/>
          <w:pgSz w:w="11906" w:h="16838" w:code="9"/>
          <w:pgMar w:top="1985" w:right="1440" w:bottom="1440" w:left="1440" w:header="425" w:footer="238" w:gutter="0"/>
          <w:pgNumType w:start="1"/>
          <w:cols w:space="708"/>
          <w:titlePg/>
          <w:docGrid w:linePitch="360"/>
        </w:sectPr>
      </w:pPr>
    </w:p>
    <w:p w:rsidR="0002457B" w:rsidRPr="00A127BB" w:rsidRDefault="0002457B" w:rsidP="0002457B">
      <w:pPr>
        <w:pStyle w:val="List2Columns"/>
      </w:pPr>
      <w:r w:rsidRPr="00A127BB">
        <w:t xml:space="preserve">the </w:t>
      </w:r>
      <w:r w:rsidR="002F77AC">
        <w:t>Open Data Framework</w:t>
      </w:r>
    </w:p>
    <w:p w:rsidR="0002457B" w:rsidRDefault="0002457B" w:rsidP="0002457B">
      <w:pPr>
        <w:pStyle w:val="List2Columns"/>
      </w:pPr>
      <w:r>
        <w:t>the Public Value Framework</w:t>
      </w:r>
    </w:p>
    <w:p w:rsidR="0002457B" w:rsidRDefault="0002457B" w:rsidP="0002457B">
      <w:pPr>
        <w:pStyle w:val="List2Columns"/>
      </w:pPr>
      <w:r>
        <w:t>the Joined-Up Policy Framework</w:t>
      </w:r>
    </w:p>
    <w:p w:rsidR="0002457B" w:rsidRDefault="0002457B" w:rsidP="0002457B">
      <w:pPr>
        <w:pStyle w:val="List2Columns"/>
      </w:pPr>
      <w:r>
        <w:t>the Better Together engagement principles</w:t>
      </w:r>
    </w:p>
    <w:p w:rsidR="0002457B" w:rsidRDefault="0002457B" w:rsidP="0002457B">
      <w:pPr>
        <w:pStyle w:val="List2Columns"/>
      </w:pPr>
      <w:r>
        <w:t>relevant Premier and Cabinet circulars</w:t>
      </w:r>
    </w:p>
    <w:p w:rsidR="0002457B" w:rsidRPr="00A85439" w:rsidRDefault="0002457B" w:rsidP="0002457B">
      <w:pPr>
        <w:pStyle w:val="List2Columns"/>
      </w:pPr>
      <w:r>
        <w:t>relevant Treasurer’s instructions</w:t>
      </w:r>
    </w:p>
    <w:p w:rsidR="0002457B" w:rsidRDefault="0002457B" w:rsidP="00621299">
      <w:pPr>
        <w:pStyle w:val="List2Columns"/>
      </w:pPr>
      <w:r w:rsidRPr="00621299">
        <w:rPr>
          <w:i/>
        </w:rPr>
        <w:t xml:space="preserve">Freedom of Information Act </w:t>
      </w:r>
      <w:r w:rsidR="008771C7" w:rsidRPr="00621299">
        <w:rPr>
          <w:i/>
        </w:rPr>
        <w:t>1991</w:t>
      </w:r>
      <w:r w:rsidR="008771C7">
        <w:t xml:space="preserve"> </w:t>
      </w:r>
      <w:r>
        <w:t>(SA)</w:t>
      </w:r>
    </w:p>
    <w:p w:rsidR="0002457B" w:rsidRDefault="0002457B" w:rsidP="0002457B">
      <w:pPr>
        <w:pStyle w:val="List2Columns"/>
      </w:pPr>
      <w:r w:rsidRPr="00097803">
        <w:rPr>
          <w:i/>
        </w:rPr>
        <w:t>Public Sector (Data Sharing) Act</w:t>
      </w:r>
      <w:r w:rsidR="008771C7" w:rsidRPr="00097803">
        <w:rPr>
          <w:i/>
        </w:rPr>
        <w:t xml:space="preserve"> 2016</w:t>
      </w:r>
      <w:r>
        <w:t xml:space="preserve"> (SA)</w:t>
      </w:r>
    </w:p>
    <w:p w:rsidR="0002457B" w:rsidRDefault="0002457B" w:rsidP="0002457B">
      <w:pPr>
        <w:pStyle w:val="List2Columns"/>
      </w:pPr>
      <w:r w:rsidRPr="00097803">
        <w:rPr>
          <w:i/>
        </w:rPr>
        <w:t xml:space="preserve">State Records Act </w:t>
      </w:r>
      <w:r w:rsidR="008771C7" w:rsidRPr="00097803">
        <w:rPr>
          <w:i/>
        </w:rPr>
        <w:t>1997</w:t>
      </w:r>
      <w:r w:rsidR="008771C7">
        <w:t xml:space="preserve"> </w:t>
      </w:r>
      <w:r>
        <w:t>(SA)</w:t>
      </w:r>
    </w:p>
    <w:p w:rsidR="0002457B" w:rsidRDefault="0002457B" w:rsidP="0002457B">
      <w:pPr>
        <w:pStyle w:val="List2Columns"/>
      </w:pPr>
      <w:r w:rsidRPr="00097803">
        <w:rPr>
          <w:i/>
        </w:rPr>
        <w:t xml:space="preserve">Circuit Layouts Act </w:t>
      </w:r>
      <w:r w:rsidR="00F06927" w:rsidRPr="00097803">
        <w:rPr>
          <w:i/>
        </w:rPr>
        <w:t>1989</w:t>
      </w:r>
      <w:r w:rsidR="00F06927">
        <w:t xml:space="preserve"> </w:t>
      </w:r>
      <w:r>
        <w:t>(</w:t>
      </w:r>
      <w:proofErr w:type="spellStart"/>
      <w:r>
        <w:t>Cth</w:t>
      </w:r>
      <w:proofErr w:type="spellEnd"/>
      <w:r>
        <w:t>)</w:t>
      </w:r>
    </w:p>
    <w:p w:rsidR="0002457B" w:rsidRDefault="0002457B" w:rsidP="0002457B">
      <w:pPr>
        <w:pStyle w:val="List2Columns"/>
      </w:pPr>
      <w:r w:rsidRPr="00097803">
        <w:rPr>
          <w:i/>
        </w:rPr>
        <w:t xml:space="preserve">Copyright Act </w:t>
      </w:r>
      <w:r w:rsidR="00F06927" w:rsidRPr="00097803">
        <w:rPr>
          <w:i/>
        </w:rPr>
        <w:t>1968</w:t>
      </w:r>
      <w:r w:rsidR="00F06927">
        <w:t xml:space="preserve"> </w:t>
      </w:r>
      <w:r>
        <w:t>(</w:t>
      </w:r>
      <w:proofErr w:type="spellStart"/>
      <w:r>
        <w:t>Cth</w:t>
      </w:r>
      <w:proofErr w:type="spellEnd"/>
      <w:r>
        <w:t>)</w:t>
      </w:r>
    </w:p>
    <w:p w:rsidR="0002457B" w:rsidRPr="002F7B30" w:rsidRDefault="0002457B" w:rsidP="0002457B">
      <w:pPr>
        <w:pStyle w:val="List2Columns"/>
      </w:pPr>
      <w:r w:rsidRPr="00097803">
        <w:rPr>
          <w:i/>
        </w:rPr>
        <w:t xml:space="preserve">Designs </w:t>
      </w:r>
      <w:r w:rsidR="00F06927" w:rsidRPr="00097803">
        <w:rPr>
          <w:i/>
        </w:rPr>
        <w:t xml:space="preserve">2003 </w:t>
      </w:r>
      <w:r w:rsidRPr="00097803">
        <w:rPr>
          <w:i/>
        </w:rPr>
        <w:t>Act</w:t>
      </w:r>
      <w:r>
        <w:t xml:space="preserve"> (</w:t>
      </w:r>
      <w:proofErr w:type="spellStart"/>
      <w:r>
        <w:t>Cth</w:t>
      </w:r>
      <w:proofErr w:type="spellEnd"/>
      <w:r>
        <w:t>)</w:t>
      </w:r>
    </w:p>
    <w:p w:rsidR="0002457B" w:rsidRDefault="0002457B" w:rsidP="0002457B">
      <w:pPr>
        <w:pStyle w:val="List2Columns"/>
      </w:pPr>
      <w:r w:rsidRPr="00097803">
        <w:rPr>
          <w:i/>
        </w:rPr>
        <w:t xml:space="preserve">Patents Act </w:t>
      </w:r>
      <w:r w:rsidR="00F06927" w:rsidRPr="00097803">
        <w:rPr>
          <w:i/>
        </w:rPr>
        <w:t>1995</w:t>
      </w:r>
      <w:r w:rsidR="00F06927">
        <w:t xml:space="preserve"> </w:t>
      </w:r>
      <w:r>
        <w:t>(</w:t>
      </w:r>
      <w:proofErr w:type="spellStart"/>
      <w:r>
        <w:t>Cth</w:t>
      </w:r>
      <w:proofErr w:type="spellEnd"/>
      <w:r>
        <w:t>)</w:t>
      </w:r>
    </w:p>
    <w:p w:rsidR="0002457B" w:rsidRDefault="0002457B" w:rsidP="0002457B">
      <w:pPr>
        <w:pStyle w:val="List2Columns"/>
      </w:pPr>
      <w:r w:rsidRPr="00097803">
        <w:rPr>
          <w:i/>
        </w:rPr>
        <w:t xml:space="preserve">Plant Breeder’s Rights Act </w:t>
      </w:r>
      <w:r w:rsidR="00F06927" w:rsidRPr="00097803">
        <w:rPr>
          <w:i/>
        </w:rPr>
        <w:t>1994</w:t>
      </w:r>
      <w:r w:rsidR="00F06927">
        <w:t xml:space="preserve"> </w:t>
      </w:r>
      <w:r>
        <w:t>(</w:t>
      </w:r>
      <w:proofErr w:type="spellStart"/>
      <w:r>
        <w:t>Cth</w:t>
      </w:r>
      <w:proofErr w:type="spellEnd"/>
      <w:r>
        <w:t>)</w:t>
      </w:r>
    </w:p>
    <w:p w:rsidR="0002457B" w:rsidRDefault="0002457B" w:rsidP="0002457B">
      <w:pPr>
        <w:pStyle w:val="List2Columns"/>
      </w:pPr>
      <w:r w:rsidRPr="00097803">
        <w:rPr>
          <w:i/>
        </w:rPr>
        <w:t xml:space="preserve">Trademarks Act </w:t>
      </w:r>
      <w:r w:rsidR="008771C7" w:rsidRPr="00097803">
        <w:rPr>
          <w:i/>
        </w:rPr>
        <w:t>1995</w:t>
      </w:r>
      <w:r w:rsidR="008771C7">
        <w:t xml:space="preserve"> </w:t>
      </w:r>
      <w:r>
        <w:t>(</w:t>
      </w:r>
      <w:proofErr w:type="spellStart"/>
      <w:r>
        <w:t>Cth</w:t>
      </w:r>
      <w:proofErr w:type="spellEnd"/>
      <w:r>
        <w:t>)</w:t>
      </w:r>
    </w:p>
    <w:p w:rsidR="0002457B" w:rsidRDefault="0002457B" w:rsidP="0002457B">
      <w:pPr>
        <w:pStyle w:val="Heading1"/>
        <w:sectPr w:rsidR="0002457B" w:rsidSect="00E87E6F">
          <w:headerReference w:type="even" r:id="rId18"/>
          <w:headerReference w:type="default" r:id="rId19"/>
          <w:headerReference w:type="first" r:id="rId20"/>
          <w:footerReference w:type="first" r:id="rId21"/>
          <w:type w:val="continuous"/>
          <w:pgSz w:w="11906" w:h="16838" w:code="9"/>
          <w:pgMar w:top="1985" w:right="1440" w:bottom="1440" w:left="1440" w:header="425" w:footer="238" w:gutter="0"/>
          <w:pgNumType w:start="1"/>
          <w:cols w:num="2" w:space="708"/>
          <w:titlePg/>
          <w:docGrid w:linePitch="360"/>
        </w:sectPr>
      </w:pPr>
    </w:p>
    <w:p w:rsidR="00C94B05" w:rsidRPr="0002457B" w:rsidRDefault="00924500" w:rsidP="007E65FA">
      <w:pPr>
        <w:pStyle w:val="Heading1"/>
        <w:spacing w:before="0"/>
      </w:pPr>
      <w:r w:rsidRPr="0002457B">
        <w:lastRenderedPageBreak/>
        <w:t>R</w:t>
      </w:r>
      <w:r w:rsidR="00C94B05" w:rsidRPr="0002457B">
        <w:t>esponsibilities</w:t>
      </w:r>
    </w:p>
    <w:p w:rsidR="00E63879" w:rsidRPr="00E63879" w:rsidRDefault="00E63879" w:rsidP="00E63879">
      <w:r>
        <w:t>The following parties are responsible for compliance with this policy:</w:t>
      </w:r>
      <w:r>
        <w:br/>
      </w:r>
    </w:p>
    <w:tbl>
      <w:tblPr>
        <w:tblStyle w:val="TableGrid"/>
        <w:tblW w:w="0" w:type="auto"/>
        <w:tblInd w:w="426" w:type="dxa"/>
        <w:tblBorders>
          <w:top w:val="none" w:sz="0" w:space="0" w:color="auto"/>
          <w:left w:val="none" w:sz="0" w:space="0" w:color="auto"/>
          <w:bottom w:val="none" w:sz="0" w:space="0" w:color="auto"/>
          <w:right w:val="none" w:sz="0" w:space="0" w:color="auto"/>
          <w:insideH w:val="single" w:sz="4" w:space="0" w:color="808080" w:themeColor="background1" w:themeShade="80"/>
          <w:insideV w:val="none" w:sz="0" w:space="0" w:color="auto"/>
        </w:tblBorders>
        <w:tblLook w:val="04A0" w:firstRow="1" w:lastRow="0" w:firstColumn="1" w:lastColumn="0" w:noHBand="0" w:noVBand="1"/>
      </w:tblPr>
      <w:tblGrid>
        <w:gridCol w:w="2863"/>
        <w:gridCol w:w="5727"/>
      </w:tblGrid>
      <w:tr w:rsidR="00C94B05" w:rsidTr="0002457B">
        <w:tc>
          <w:tcPr>
            <w:tcW w:w="2863" w:type="dxa"/>
          </w:tcPr>
          <w:p w:rsidR="00C94B05" w:rsidRPr="007B0778" w:rsidRDefault="00C94B05" w:rsidP="00AE08A9">
            <w:pPr>
              <w:pStyle w:val="Table"/>
            </w:pPr>
            <w:r w:rsidRPr="007B0778">
              <w:t>Ministers</w:t>
            </w:r>
          </w:p>
        </w:tc>
        <w:tc>
          <w:tcPr>
            <w:tcW w:w="5727" w:type="dxa"/>
          </w:tcPr>
          <w:p w:rsidR="00C94B05" w:rsidRPr="00A127BB" w:rsidRDefault="00503621" w:rsidP="00AE08A9">
            <w:pPr>
              <w:pStyle w:val="TableLIst"/>
            </w:pPr>
            <w:r w:rsidRPr="00A127BB">
              <w:t>responsible to Cabinet for implementation of this policy</w:t>
            </w:r>
            <w:r w:rsidR="008821DF" w:rsidRPr="00A127BB">
              <w:t xml:space="preserve"> within their portfolios</w:t>
            </w:r>
          </w:p>
        </w:tc>
      </w:tr>
      <w:tr w:rsidR="00C94B05" w:rsidTr="0002457B">
        <w:tc>
          <w:tcPr>
            <w:tcW w:w="2863" w:type="dxa"/>
          </w:tcPr>
          <w:p w:rsidR="00C94B05" w:rsidRPr="007B0778" w:rsidRDefault="00C94B05" w:rsidP="00AE08A9">
            <w:pPr>
              <w:pStyle w:val="Table"/>
            </w:pPr>
            <w:r w:rsidRPr="007B0778">
              <w:t>agency chief executives</w:t>
            </w:r>
          </w:p>
        </w:tc>
        <w:tc>
          <w:tcPr>
            <w:tcW w:w="5727" w:type="dxa"/>
          </w:tcPr>
          <w:p w:rsidR="00C94B05" w:rsidRDefault="00C94B05" w:rsidP="00AE08A9">
            <w:pPr>
              <w:pStyle w:val="TableLIst"/>
            </w:pPr>
            <w:r>
              <w:t>responsible to Ministers</w:t>
            </w:r>
            <w:r w:rsidR="00503621">
              <w:t xml:space="preserve"> for implementing this policy</w:t>
            </w:r>
          </w:p>
          <w:p w:rsidR="00503621" w:rsidRDefault="00503621" w:rsidP="00AE08A9">
            <w:pPr>
              <w:pStyle w:val="TableLIst"/>
            </w:pPr>
            <w:r>
              <w:t>must maintain agency policies and procedures consistent with this policy</w:t>
            </w:r>
          </w:p>
        </w:tc>
      </w:tr>
      <w:tr w:rsidR="00C94B05" w:rsidTr="0002457B">
        <w:tc>
          <w:tcPr>
            <w:tcW w:w="2863" w:type="dxa"/>
          </w:tcPr>
          <w:p w:rsidR="00C94B05" w:rsidRPr="007B0778" w:rsidRDefault="00C94B05" w:rsidP="00AE08A9">
            <w:pPr>
              <w:pStyle w:val="Table"/>
            </w:pPr>
            <w:r w:rsidRPr="007B0778">
              <w:t>agency staff</w:t>
            </w:r>
          </w:p>
        </w:tc>
        <w:tc>
          <w:tcPr>
            <w:tcW w:w="5727" w:type="dxa"/>
          </w:tcPr>
          <w:p w:rsidR="00C94B05" w:rsidRDefault="00C94B05" w:rsidP="00AE08A9">
            <w:pPr>
              <w:pStyle w:val="TableLIst"/>
            </w:pPr>
            <w:r>
              <w:t>must comply with relevant agency policies</w:t>
            </w:r>
          </w:p>
          <w:p w:rsidR="00503621" w:rsidRDefault="00503621" w:rsidP="00AE08A9">
            <w:pPr>
              <w:pStyle w:val="TableLIst"/>
            </w:pPr>
            <w:r>
              <w:t>should be aware of ethical obligations as public servants</w:t>
            </w:r>
          </w:p>
        </w:tc>
      </w:tr>
      <w:tr w:rsidR="00C94B05" w:rsidTr="0002457B">
        <w:tc>
          <w:tcPr>
            <w:tcW w:w="2863" w:type="dxa"/>
          </w:tcPr>
          <w:p w:rsidR="00C94B05" w:rsidRPr="007B0778" w:rsidRDefault="00C94B05" w:rsidP="00AE08A9">
            <w:pPr>
              <w:pStyle w:val="Table"/>
            </w:pPr>
            <w:r w:rsidRPr="007B0778">
              <w:t>statutory office-holders</w:t>
            </w:r>
            <w:r w:rsidR="00503621" w:rsidRPr="007B0778">
              <w:t>, board/committee members</w:t>
            </w:r>
          </w:p>
        </w:tc>
        <w:tc>
          <w:tcPr>
            <w:tcW w:w="5727" w:type="dxa"/>
          </w:tcPr>
          <w:p w:rsidR="00C94B05" w:rsidRPr="00C94B05" w:rsidRDefault="00C94B05" w:rsidP="00AE08A9">
            <w:pPr>
              <w:pStyle w:val="TableLIst"/>
            </w:pPr>
            <w:r w:rsidRPr="00C94B05">
              <w:t>must comply with relevant agency policies</w:t>
            </w:r>
            <w:r w:rsidR="00503621">
              <w:t>, terms of appointment and relevant legislation</w:t>
            </w:r>
          </w:p>
        </w:tc>
      </w:tr>
      <w:tr w:rsidR="00C94B05" w:rsidTr="0002457B">
        <w:tc>
          <w:tcPr>
            <w:tcW w:w="2863" w:type="dxa"/>
          </w:tcPr>
          <w:p w:rsidR="00C94B05" w:rsidRPr="007B0778" w:rsidRDefault="00C94B05" w:rsidP="00AE08A9">
            <w:pPr>
              <w:pStyle w:val="Table"/>
            </w:pPr>
            <w:r w:rsidRPr="007B0778">
              <w:t>contractors</w:t>
            </w:r>
          </w:p>
        </w:tc>
        <w:tc>
          <w:tcPr>
            <w:tcW w:w="5727" w:type="dxa"/>
          </w:tcPr>
          <w:p w:rsidR="00C94B05" w:rsidRDefault="00503621" w:rsidP="00AE08A9">
            <w:pPr>
              <w:pStyle w:val="TableLIst"/>
            </w:pPr>
            <w:r>
              <w:t>must comply with relevant contractual requirements</w:t>
            </w:r>
          </w:p>
        </w:tc>
      </w:tr>
      <w:tr w:rsidR="00C94B05" w:rsidTr="0002457B">
        <w:tc>
          <w:tcPr>
            <w:tcW w:w="2863" w:type="dxa"/>
          </w:tcPr>
          <w:p w:rsidR="00C94B05" w:rsidRPr="007B0778" w:rsidRDefault="008821DF" w:rsidP="00AE08A9">
            <w:pPr>
              <w:pStyle w:val="Table"/>
            </w:pPr>
            <w:r w:rsidRPr="007B0778">
              <w:t>v</w:t>
            </w:r>
            <w:r w:rsidR="00C94B05" w:rsidRPr="007B0778">
              <w:t>olunteers</w:t>
            </w:r>
          </w:p>
        </w:tc>
        <w:tc>
          <w:tcPr>
            <w:tcW w:w="5727" w:type="dxa"/>
          </w:tcPr>
          <w:p w:rsidR="00C94B05" w:rsidRDefault="00503621" w:rsidP="00AE08A9">
            <w:pPr>
              <w:pStyle w:val="TableLIst"/>
            </w:pPr>
            <w:r>
              <w:t>must comply with relevant volunteer requirements</w:t>
            </w:r>
          </w:p>
        </w:tc>
      </w:tr>
    </w:tbl>
    <w:p w:rsidR="00E62017" w:rsidRDefault="00E62017" w:rsidP="0002457B">
      <w:pPr>
        <w:pStyle w:val="Heading1"/>
      </w:pPr>
      <w:bookmarkStart w:id="9" w:name="_Toc476231116"/>
      <w:r>
        <w:t>implementation</w:t>
      </w:r>
      <w:r w:rsidR="00341E0A">
        <w:t xml:space="preserve"> AND REVIEW</w:t>
      </w:r>
    </w:p>
    <w:p w:rsidR="00341E0A" w:rsidRDefault="00341E0A" w:rsidP="00341E0A">
      <w:pPr>
        <w:spacing w:before="180"/>
        <w:ind w:left="425"/>
      </w:pPr>
      <w:r>
        <w:t xml:space="preserve">This policy is effective from </w:t>
      </w:r>
      <w:r w:rsidR="00FC3CA0">
        <w:t>28</w:t>
      </w:r>
      <w:r w:rsidR="00621299" w:rsidRPr="00621299">
        <w:t xml:space="preserve"> September 2017</w:t>
      </w:r>
      <w:r w:rsidRPr="00621299">
        <w:t>.</w:t>
      </w:r>
    </w:p>
    <w:p w:rsidR="00E62017" w:rsidRDefault="00E62017" w:rsidP="00E62017">
      <w:r>
        <w:t>Agencies are responsible for reviewing their existing policies, procedures and practices upon commencement of this policy.</w:t>
      </w:r>
    </w:p>
    <w:p w:rsidR="00E62017" w:rsidRPr="00E62017" w:rsidRDefault="00341E0A" w:rsidP="00341E0A">
      <w:r>
        <w:t>The Chief Executive of the Department of</w:t>
      </w:r>
      <w:r w:rsidR="00B9786D">
        <w:t xml:space="preserve"> the</w:t>
      </w:r>
      <w:r>
        <w:t xml:space="preserve"> Pr</w:t>
      </w:r>
      <w:bookmarkStart w:id="10" w:name="_GoBack"/>
      <w:bookmarkEnd w:id="10"/>
      <w:r>
        <w:t>emier and Cabinet (DPC) may is</w:t>
      </w:r>
      <w:r w:rsidR="00B9786D">
        <w:t xml:space="preserve">sue guidelines </w:t>
      </w:r>
      <w:r>
        <w:t>to assist agencies in interpreting and applying this policy and</w:t>
      </w:r>
      <w:r w:rsidR="00E62017">
        <w:t xml:space="preserve"> may review any agency policies, procedures or practices to ensure consistency with this policy.</w:t>
      </w:r>
    </w:p>
    <w:p w:rsidR="003307D7" w:rsidRDefault="003F3855" w:rsidP="003307D7">
      <w:r>
        <w:t>DPC</w:t>
      </w:r>
      <w:r w:rsidR="003307D7">
        <w:t xml:space="preserve"> is responsible for reviewing this policy within 5 years of its implementation.</w:t>
      </w:r>
    </w:p>
    <w:p w:rsidR="00593D31" w:rsidRDefault="00593D31" w:rsidP="0002457B">
      <w:pPr>
        <w:pStyle w:val="Heading1"/>
        <w:numPr>
          <w:ilvl w:val="0"/>
          <w:numId w:val="0"/>
        </w:numPr>
        <w:ind w:left="426"/>
      </w:pPr>
      <w:bookmarkStart w:id="11" w:name="_Toc476231137"/>
      <w:bookmarkEnd w:id="9"/>
      <w:r>
        <w:br w:type="page"/>
      </w:r>
    </w:p>
    <w:p w:rsidR="00E87E6F" w:rsidRPr="00E87E6F" w:rsidRDefault="00E62017" w:rsidP="0002457B">
      <w:pPr>
        <w:pStyle w:val="Heading1"/>
        <w:numPr>
          <w:ilvl w:val="0"/>
          <w:numId w:val="0"/>
        </w:numPr>
        <w:ind w:left="426"/>
      </w:pPr>
      <w:r>
        <w:lastRenderedPageBreak/>
        <w:t>APPENDIX—</w:t>
      </w:r>
      <w:r w:rsidR="00241D6B">
        <w:t>FORMS OF INTELLECTUAL PROPERTY</w:t>
      </w:r>
      <w:bookmarkEnd w:id="11"/>
      <w:r w:rsidR="0002457B">
        <w:br/>
      </w:r>
    </w:p>
    <w:tbl>
      <w:tblPr>
        <w:tblStyle w:val="TableGrid"/>
        <w:tblW w:w="0" w:type="auto"/>
        <w:tblInd w:w="426" w:type="dxa"/>
        <w:tblBorders>
          <w:top w:val="none" w:sz="0" w:space="0" w:color="auto"/>
          <w:left w:val="none" w:sz="0" w:space="0" w:color="auto"/>
          <w:bottom w:val="none" w:sz="0" w:space="0" w:color="auto"/>
          <w:right w:val="none" w:sz="0" w:space="0" w:color="auto"/>
          <w:insideH w:val="single" w:sz="4" w:space="0" w:color="808080" w:themeColor="background1" w:themeShade="80"/>
          <w:insideV w:val="none" w:sz="0" w:space="0" w:color="auto"/>
        </w:tblBorders>
        <w:tblLook w:val="04A0" w:firstRow="1" w:lastRow="0" w:firstColumn="1" w:lastColumn="0" w:noHBand="0" w:noVBand="1"/>
      </w:tblPr>
      <w:tblGrid>
        <w:gridCol w:w="2551"/>
        <w:gridCol w:w="6039"/>
      </w:tblGrid>
      <w:tr w:rsidR="00E87E6F" w:rsidTr="00231FC2">
        <w:tc>
          <w:tcPr>
            <w:tcW w:w="2551" w:type="dxa"/>
          </w:tcPr>
          <w:p w:rsidR="00E87E6F" w:rsidRPr="007B0778" w:rsidRDefault="00E87E6F" w:rsidP="00AE08A9">
            <w:pPr>
              <w:pStyle w:val="Table"/>
            </w:pPr>
            <w:r w:rsidRPr="007B0778">
              <w:t>Copyright</w:t>
            </w:r>
            <w:r w:rsidR="00984B6D" w:rsidRPr="007B0778">
              <w:t>, circuit layouts</w:t>
            </w:r>
          </w:p>
        </w:tc>
        <w:tc>
          <w:tcPr>
            <w:tcW w:w="6039" w:type="dxa"/>
          </w:tcPr>
          <w:p w:rsidR="00E87E6F" w:rsidRDefault="00E87E6F" w:rsidP="00AE08A9">
            <w:pPr>
              <w:pStyle w:val="TableLIst"/>
            </w:pPr>
            <w:r>
              <w:t xml:space="preserve">applies to </w:t>
            </w:r>
            <w:r w:rsidR="006135D0">
              <w:t xml:space="preserve">original artistic, literary, dramatic and musical </w:t>
            </w:r>
            <w:r w:rsidR="00984B6D">
              <w:t xml:space="preserve">works; films, </w:t>
            </w:r>
            <w:r w:rsidR="00106781">
              <w:t xml:space="preserve">sound recordings, </w:t>
            </w:r>
            <w:r w:rsidR="00984B6D">
              <w:t>broadcast</w:t>
            </w:r>
            <w:r w:rsidR="00106781">
              <w:t>s</w:t>
            </w:r>
            <w:r w:rsidR="00984B6D">
              <w:t xml:space="preserve"> and multimedia outputs; software and databases</w:t>
            </w:r>
          </w:p>
          <w:p w:rsidR="00E87E6F" w:rsidRDefault="00E87E6F" w:rsidP="00AE08A9">
            <w:pPr>
              <w:pStyle w:val="TableLIst"/>
            </w:pPr>
            <w:r>
              <w:t>creates exclusive right</w:t>
            </w:r>
            <w:r w:rsidR="00106781">
              <w:t>s</w:t>
            </w:r>
            <w:r>
              <w:t xml:space="preserve"> to use and exploit for a defined term</w:t>
            </w:r>
          </w:p>
          <w:p w:rsidR="00E87E6F" w:rsidRDefault="00E87E6F" w:rsidP="00AE08A9">
            <w:pPr>
              <w:pStyle w:val="TableLIst"/>
            </w:pPr>
            <w:r>
              <w:t xml:space="preserve">rights arise </w:t>
            </w:r>
            <w:r w:rsidR="006135D0">
              <w:t>automatically on creation</w:t>
            </w:r>
            <w:r w:rsidR="00984B6D">
              <w:t xml:space="preserve"> and are </w:t>
            </w:r>
            <w:r w:rsidR="00D90907">
              <w:t xml:space="preserve">generally </w:t>
            </w:r>
            <w:r w:rsidR="00984B6D">
              <w:t xml:space="preserve">owned by the Crown when created </w:t>
            </w:r>
            <w:r w:rsidR="00106781">
              <w:t xml:space="preserve">by its employees </w:t>
            </w:r>
            <w:r w:rsidR="00F06927">
              <w:t xml:space="preserve">or </w:t>
            </w:r>
            <w:r w:rsidR="00106781">
              <w:t xml:space="preserve">in certain limited circumstances where the work or subject matter other than a work is made or first published </w:t>
            </w:r>
            <w:r w:rsidR="00984B6D">
              <w:t xml:space="preserve">under the direction or control of the State </w:t>
            </w:r>
            <w:r>
              <w:t xml:space="preserve">under </w:t>
            </w:r>
            <w:r w:rsidR="00984B6D">
              <w:t xml:space="preserve">the </w:t>
            </w:r>
            <w:r w:rsidR="006135D0" w:rsidRPr="00357BB7">
              <w:rPr>
                <w:i/>
              </w:rPr>
              <w:t xml:space="preserve">Copyright </w:t>
            </w:r>
            <w:r w:rsidRPr="00357BB7">
              <w:rPr>
                <w:i/>
              </w:rPr>
              <w:t xml:space="preserve">Act </w:t>
            </w:r>
            <w:r w:rsidR="00106781" w:rsidRPr="00357BB7">
              <w:rPr>
                <w:i/>
              </w:rPr>
              <w:t>1968</w:t>
            </w:r>
            <w:r w:rsidR="00106781">
              <w:t xml:space="preserve"> </w:t>
            </w:r>
            <w:r>
              <w:t>(</w:t>
            </w:r>
            <w:proofErr w:type="spellStart"/>
            <w:r>
              <w:t>Cth</w:t>
            </w:r>
            <w:proofErr w:type="spellEnd"/>
            <w:r>
              <w:t>)</w:t>
            </w:r>
          </w:p>
          <w:p w:rsidR="00984B6D" w:rsidRDefault="00984B6D" w:rsidP="00AE08A9">
            <w:pPr>
              <w:pStyle w:val="TableLIst"/>
            </w:pPr>
            <w:r>
              <w:t xml:space="preserve">a particular form of copyright for circuit layouts arises automatically on creation under the </w:t>
            </w:r>
            <w:r w:rsidRPr="00357BB7">
              <w:rPr>
                <w:i/>
              </w:rPr>
              <w:t>Circuit Layouts Act</w:t>
            </w:r>
            <w:r w:rsidR="00106781" w:rsidRPr="00357BB7">
              <w:rPr>
                <w:i/>
              </w:rPr>
              <w:t xml:space="preserve"> 1989</w:t>
            </w:r>
            <w:r>
              <w:t xml:space="preserve"> (</w:t>
            </w:r>
            <w:proofErr w:type="spellStart"/>
            <w:r>
              <w:t>Cth</w:t>
            </w:r>
            <w:proofErr w:type="spellEnd"/>
            <w:r>
              <w:t>)</w:t>
            </w:r>
          </w:p>
          <w:p w:rsidR="00984B6D" w:rsidRPr="00C94B05" w:rsidRDefault="00984B6D" w:rsidP="00AE08A9">
            <w:pPr>
              <w:pStyle w:val="TableLIst"/>
            </w:pPr>
            <w:r>
              <w:t>rights are assignable as property and licensable</w:t>
            </w:r>
          </w:p>
        </w:tc>
      </w:tr>
      <w:tr w:rsidR="00984B6D" w:rsidTr="00231FC2">
        <w:tc>
          <w:tcPr>
            <w:tcW w:w="2551" w:type="dxa"/>
          </w:tcPr>
          <w:p w:rsidR="00984B6D" w:rsidRPr="007B0778" w:rsidRDefault="00D5740A" w:rsidP="00AE08A9">
            <w:pPr>
              <w:pStyle w:val="Table"/>
            </w:pPr>
            <w:r w:rsidRPr="007B0778">
              <w:t xml:space="preserve">Copyright—associated moral </w:t>
            </w:r>
            <w:r w:rsidR="00984B6D" w:rsidRPr="007B0778">
              <w:t>rights</w:t>
            </w:r>
          </w:p>
        </w:tc>
        <w:tc>
          <w:tcPr>
            <w:tcW w:w="6039" w:type="dxa"/>
          </w:tcPr>
          <w:p w:rsidR="00984B6D" w:rsidRPr="00D814A1" w:rsidRDefault="00984B6D" w:rsidP="00AE08A9">
            <w:pPr>
              <w:pStyle w:val="TableLIst"/>
            </w:pPr>
            <w:r>
              <w:t xml:space="preserve">a </w:t>
            </w:r>
            <w:r w:rsidRPr="00D814A1">
              <w:t xml:space="preserve">right </w:t>
            </w:r>
            <w:r w:rsidR="00106781">
              <w:t xml:space="preserve">to </w:t>
            </w:r>
            <w:r w:rsidRPr="00D814A1">
              <w:t>attribution o</w:t>
            </w:r>
            <w:r w:rsidR="00106781">
              <w:t>f</w:t>
            </w:r>
            <w:r w:rsidRPr="00D814A1">
              <w:t xml:space="preserve"> authorship, a right not to have authorship falsely attributed </w:t>
            </w:r>
            <w:r w:rsidR="00106781">
              <w:t>and</w:t>
            </w:r>
            <w:r w:rsidRPr="00D814A1">
              <w:t xml:space="preserve"> a r</w:t>
            </w:r>
            <w:r>
              <w:t>ight of integrity of authorship</w:t>
            </w:r>
          </w:p>
          <w:p w:rsidR="00984B6D" w:rsidRDefault="00984B6D" w:rsidP="00AE08A9">
            <w:pPr>
              <w:pStyle w:val="TableLIst"/>
            </w:pPr>
            <w:r>
              <w:t xml:space="preserve">applies to copyright works </w:t>
            </w:r>
            <w:r w:rsidR="00106781">
              <w:t xml:space="preserve">and cinematograph films </w:t>
            </w:r>
          </w:p>
          <w:p w:rsidR="00984B6D" w:rsidRDefault="00984B6D" w:rsidP="00106781">
            <w:pPr>
              <w:pStyle w:val="TableLIst"/>
            </w:pPr>
            <w:r>
              <w:t xml:space="preserve">rights arise automatically on creation under the </w:t>
            </w:r>
            <w:r w:rsidRPr="00357BB7">
              <w:rPr>
                <w:i/>
              </w:rPr>
              <w:t xml:space="preserve">Copyright Act </w:t>
            </w:r>
            <w:r w:rsidR="00106781" w:rsidRPr="00357BB7">
              <w:rPr>
                <w:i/>
              </w:rPr>
              <w:t>1968</w:t>
            </w:r>
            <w:r w:rsidR="00106781">
              <w:t xml:space="preserve"> </w:t>
            </w:r>
            <w:r>
              <w:t>(</w:t>
            </w:r>
            <w:proofErr w:type="spellStart"/>
            <w:r>
              <w:t>Cth</w:t>
            </w:r>
            <w:proofErr w:type="spellEnd"/>
            <w:r>
              <w:t xml:space="preserve">), are </w:t>
            </w:r>
            <w:r w:rsidR="00F06927">
              <w:t xml:space="preserve">personal, </w:t>
            </w:r>
            <w:r>
              <w:t>unassignable and unable to be exploited for commercial benefit</w:t>
            </w:r>
          </w:p>
        </w:tc>
      </w:tr>
      <w:tr w:rsidR="00D5740A" w:rsidTr="00231FC2">
        <w:tc>
          <w:tcPr>
            <w:tcW w:w="2551" w:type="dxa"/>
          </w:tcPr>
          <w:p w:rsidR="00D5740A" w:rsidRPr="007B0778" w:rsidRDefault="00D5740A" w:rsidP="00AE08A9">
            <w:pPr>
              <w:pStyle w:val="Table"/>
            </w:pPr>
            <w:r w:rsidRPr="007B0778">
              <w:t>Patents</w:t>
            </w:r>
          </w:p>
        </w:tc>
        <w:tc>
          <w:tcPr>
            <w:tcW w:w="6039" w:type="dxa"/>
          </w:tcPr>
          <w:p w:rsidR="00D5740A" w:rsidRDefault="00D5740A" w:rsidP="00AE08A9">
            <w:pPr>
              <w:pStyle w:val="TableLIst"/>
            </w:pPr>
            <w:r>
              <w:t>applies to original inventions</w:t>
            </w:r>
            <w:r w:rsidRPr="00D814A1">
              <w:t xml:space="preserve"> </w:t>
            </w:r>
            <w:r>
              <w:t xml:space="preserve">or discoveries </w:t>
            </w:r>
            <w:r w:rsidRPr="00D814A1">
              <w:t>entailing new or improved pr</w:t>
            </w:r>
            <w:r>
              <w:t>oducts, processes or technology</w:t>
            </w:r>
          </w:p>
          <w:p w:rsidR="00D5740A" w:rsidRDefault="00D5740A" w:rsidP="00AE08A9">
            <w:pPr>
              <w:pStyle w:val="TableLIst"/>
            </w:pPr>
            <w:r>
              <w:t>creates exclusive right to use and exploit for a defined term</w:t>
            </w:r>
          </w:p>
          <w:p w:rsidR="00D5740A" w:rsidRDefault="00D5740A" w:rsidP="00AE08A9">
            <w:pPr>
              <w:pStyle w:val="TableLIst"/>
            </w:pPr>
            <w:r>
              <w:t xml:space="preserve">rights arise on registration under </w:t>
            </w:r>
            <w:r w:rsidRPr="00357BB7">
              <w:rPr>
                <w:i/>
              </w:rPr>
              <w:t xml:space="preserve">Patents Act </w:t>
            </w:r>
            <w:r w:rsidR="00106781" w:rsidRPr="00357BB7">
              <w:rPr>
                <w:i/>
              </w:rPr>
              <w:t>1990</w:t>
            </w:r>
            <w:r w:rsidR="00106781">
              <w:t xml:space="preserve"> </w:t>
            </w:r>
            <w:r>
              <w:t>(</w:t>
            </w:r>
            <w:proofErr w:type="spellStart"/>
            <w:r>
              <w:t>Cth</w:t>
            </w:r>
            <w:proofErr w:type="spellEnd"/>
            <w:r>
              <w:t>)</w:t>
            </w:r>
          </w:p>
          <w:p w:rsidR="00D5740A" w:rsidRDefault="00D5740A" w:rsidP="00AE08A9">
            <w:pPr>
              <w:pStyle w:val="TableLIst"/>
            </w:pPr>
            <w:r>
              <w:t xml:space="preserve">a particular form of patent is plant breeder’s rights which arise on registration under the </w:t>
            </w:r>
            <w:r w:rsidRPr="00357BB7">
              <w:rPr>
                <w:i/>
              </w:rPr>
              <w:t>Plant Breeder’s Rights Act</w:t>
            </w:r>
            <w:r>
              <w:t xml:space="preserve"> </w:t>
            </w:r>
            <w:r w:rsidR="00106781">
              <w:t xml:space="preserve">1994 </w:t>
            </w:r>
            <w:r>
              <w:t>(</w:t>
            </w:r>
            <w:proofErr w:type="spellStart"/>
            <w:r>
              <w:t>Cth</w:t>
            </w:r>
            <w:proofErr w:type="spellEnd"/>
            <w:r>
              <w:t>)</w:t>
            </w:r>
          </w:p>
          <w:p w:rsidR="00D5740A" w:rsidRPr="00C94B05" w:rsidRDefault="00D5740A" w:rsidP="00AE08A9">
            <w:pPr>
              <w:pStyle w:val="TableLIst"/>
            </w:pPr>
            <w:r>
              <w:t>rights are assignable as property and licensable</w:t>
            </w:r>
          </w:p>
        </w:tc>
      </w:tr>
      <w:tr w:rsidR="00E87E6F" w:rsidTr="00231FC2">
        <w:tc>
          <w:tcPr>
            <w:tcW w:w="2551" w:type="dxa"/>
          </w:tcPr>
          <w:p w:rsidR="00E87E6F" w:rsidRPr="007B0778" w:rsidRDefault="00E87E6F" w:rsidP="00AE08A9">
            <w:pPr>
              <w:pStyle w:val="Table"/>
            </w:pPr>
            <w:r w:rsidRPr="007B0778">
              <w:t>Designs</w:t>
            </w:r>
          </w:p>
        </w:tc>
        <w:tc>
          <w:tcPr>
            <w:tcW w:w="6039" w:type="dxa"/>
          </w:tcPr>
          <w:p w:rsidR="006135D0" w:rsidRDefault="00E87E6F" w:rsidP="00AE08A9">
            <w:pPr>
              <w:pStyle w:val="TableLIst"/>
            </w:pPr>
            <w:r>
              <w:t xml:space="preserve">applies to </w:t>
            </w:r>
            <w:r w:rsidR="006135D0">
              <w:t>original</w:t>
            </w:r>
            <w:r>
              <w:t xml:space="preserve"> designs </w:t>
            </w:r>
            <w:r w:rsidR="006135D0" w:rsidRPr="00D814A1">
              <w:t>for the configuration, ornamentation, pattern, shape or a</w:t>
            </w:r>
            <w:r w:rsidR="006135D0">
              <w:t>ppearance of manufactured goods</w:t>
            </w:r>
          </w:p>
          <w:p w:rsidR="00E87E6F" w:rsidRDefault="00E87E6F" w:rsidP="00AE08A9">
            <w:pPr>
              <w:pStyle w:val="TableLIst"/>
            </w:pPr>
            <w:r>
              <w:t>creates exclusive right</w:t>
            </w:r>
            <w:r w:rsidR="00106781">
              <w:t>s</w:t>
            </w:r>
            <w:r>
              <w:t xml:space="preserve"> to use and exploit for a defined term</w:t>
            </w:r>
          </w:p>
          <w:p w:rsidR="00E87E6F" w:rsidRDefault="00E87E6F" w:rsidP="00AE08A9">
            <w:pPr>
              <w:pStyle w:val="TableLIst"/>
            </w:pPr>
            <w:r>
              <w:t xml:space="preserve">rights arise on registration under </w:t>
            </w:r>
            <w:r w:rsidRPr="00357BB7">
              <w:rPr>
                <w:i/>
              </w:rPr>
              <w:t xml:space="preserve">Designs Act </w:t>
            </w:r>
            <w:r w:rsidR="00343E2C" w:rsidRPr="00357BB7">
              <w:rPr>
                <w:i/>
              </w:rPr>
              <w:t>2003</w:t>
            </w:r>
            <w:r w:rsidR="00343E2C">
              <w:t xml:space="preserve"> </w:t>
            </w:r>
            <w:r>
              <w:t>(</w:t>
            </w:r>
            <w:proofErr w:type="spellStart"/>
            <w:r>
              <w:t>Cth</w:t>
            </w:r>
            <w:proofErr w:type="spellEnd"/>
            <w:r>
              <w:t>)</w:t>
            </w:r>
          </w:p>
          <w:p w:rsidR="00984B6D" w:rsidRPr="00C94B05" w:rsidRDefault="00984B6D" w:rsidP="00AE08A9">
            <w:pPr>
              <w:pStyle w:val="TableLIst"/>
            </w:pPr>
            <w:r>
              <w:t>rights are assignable as property and licensable</w:t>
            </w:r>
          </w:p>
        </w:tc>
      </w:tr>
      <w:tr w:rsidR="00E87E6F" w:rsidTr="00231FC2">
        <w:tc>
          <w:tcPr>
            <w:tcW w:w="2551" w:type="dxa"/>
          </w:tcPr>
          <w:p w:rsidR="00E87E6F" w:rsidRPr="007B0778" w:rsidRDefault="00E87E6F" w:rsidP="00AE08A9">
            <w:pPr>
              <w:pStyle w:val="Table"/>
            </w:pPr>
            <w:r w:rsidRPr="007B0778">
              <w:t>Trademarks</w:t>
            </w:r>
          </w:p>
        </w:tc>
        <w:tc>
          <w:tcPr>
            <w:tcW w:w="6039" w:type="dxa"/>
          </w:tcPr>
          <w:p w:rsidR="00E87E6F" w:rsidRDefault="00BA2A15" w:rsidP="00AE08A9">
            <w:pPr>
              <w:pStyle w:val="TableLIst"/>
            </w:pPr>
            <w:r>
              <w:t xml:space="preserve">applies to </w:t>
            </w:r>
            <w:r w:rsidR="006135D0" w:rsidRPr="00D814A1">
              <w:t xml:space="preserve">words, symbols, sounds, smells or a combination </w:t>
            </w:r>
            <w:r>
              <w:t xml:space="preserve">thereof </w:t>
            </w:r>
            <w:r w:rsidR="006135D0" w:rsidRPr="00D814A1">
              <w:t xml:space="preserve">used to distinguish </w:t>
            </w:r>
            <w:r w:rsidR="00984B6D">
              <w:t>a trader’s goods and services</w:t>
            </w:r>
          </w:p>
          <w:p w:rsidR="00984B6D" w:rsidRDefault="00984B6D" w:rsidP="00AE08A9">
            <w:pPr>
              <w:pStyle w:val="TableLIst"/>
            </w:pPr>
            <w:r>
              <w:t xml:space="preserve">creates exclusive right to use and </w:t>
            </w:r>
            <w:r w:rsidR="00343E2C">
              <w:t>exploit</w:t>
            </w:r>
            <w:r>
              <w:t xml:space="preserve"> for a defined term</w:t>
            </w:r>
          </w:p>
          <w:p w:rsidR="00984B6D" w:rsidRDefault="00984B6D" w:rsidP="00AE08A9">
            <w:pPr>
              <w:pStyle w:val="TableLIst"/>
            </w:pPr>
            <w:r>
              <w:t xml:space="preserve">rights arise on registration under </w:t>
            </w:r>
            <w:r w:rsidRPr="00357BB7">
              <w:rPr>
                <w:i/>
              </w:rPr>
              <w:t xml:space="preserve">Trademarks Act </w:t>
            </w:r>
            <w:r w:rsidR="00343E2C" w:rsidRPr="00357BB7">
              <w:rPr>
                <w:i/>
              </w:rPr>
              <w:t>1995</w:t>
            </w:r>
            <w:r w:rsidR="00343E2C">
              <w:t xml:space="preserve"> </w:t>
            </w:r>
            <w:r>
              <w:t>(</w:t>
            </w:r>
            <w:proofErr w:type="spellStart"/>
            <w:r>
              <w:t>Cth</w:t>
            </w:r>
            <w:proofErr w:type="spellEnd"/>
            <w:r>
              <w:t>)</w:t>
            </w:r>
          </w:p>
          <w:p w:rsidR="00984B6D" w:rsidRDefault="00984B6D" w:rsidP="00AE08A9">
            <w:pPr>
              <w:pStyle w:val="TableLIst"/>
            </w:pPr>
            <w:r>
              <w:t>rights are assignable as property and licensable</w:t>
            </w:r>
          </w:p>
        </w:tc>
      </w:tr>
      <w:tr w:rsidR="00BE0F7E" w:rsidTr="00231FC2">
        <w:tc>
          <w:tcPr>
            <w:tcW w:w="2551" w:type="dxa"/>
          </w:tcPr>
          <w:p w:rsidR="00BE0F7E" w:rsidRPr="007B0778" w:rsidRDefault="00BE0F7E" w:rsidP="00AE08A9">
            <w:pPr>
              <w:pStyle w:val="Table"/>
            </w:pPr>
            <w:r w:rsidRPr="007B0778">
              <w:t>Confidential information</w:t>
            </w:r>
          </w:p>
        </w:tc>
        <w:tc>
          <w:tcPr>
            <w:tcW w:w="6039" w:type="dxa"/>
          </w:tcPr>
          <w:p w:rsidR="00BE0F7E" w:rsidRDefault="00BE0F7E" w:rsidP="00AE08A9">
            <w:pPr>
              <w:pStyle w:val="TableLIst"/>
            </w:pPr>
            <w:r>
              <w:t>confidential s</w:t>
            </w:r>
            <w:r w:rsidRPr="00D814A1">
              <w:t xml:space="preserve">ecret information </w:t>
            </w:r>
            <w:r>
              <w:t xml:space="preserve">such as </w:t>
            </w:r>
            <w:r w:rsidRPr="00D814A1">
              <w:t>trade secrets, in-hous</w:t>
            </w:r>
            <w:r>
              <w:t>e know-how</w:t>
            </w:r>
            <w:r w:rsidRPr="00D814A1">
              <w:t>, fi</w:t>
            </w:r>
            <w:r>
              <w:t xml:space="preserve">nancial and market information and </w:t>
            </w:r>
            <w:r w:rsidRPr="00D814A1">
              <w:t>customer lists</w:t>
            </w:r>
          </w:p>
          <w:p w:rsidR="00BE0F7E" w:rsidRDefault="00BE0F7E" w:rsidP="004F2C67">
            <w:pPr>
              <w:pStyle w:val="TableLIst"/>
            </w:pPr>
            <w:r>
              <w:t>governed by general law principles</w:t>
            </w:r>
            <w:r w:rsidR="004F2C67">
              <w:t xml:space="preserve"> including contractual law</w:t>
            </w:r>
          </w:p>
        </w:tc>
      </w:tr>
    </w:tbl>
    <w:p w:rsidR="00E87E6F" w:rsidRPr="00E87E6F" w:rsidRDefault="00E87E6F" w:rsidP="00231FC2">
      <w:pPr>
        <w:tabs>
          <w:tab w:val="left" w:pos="2634"/>
        </w:tabs>
        <w:ind w:left="0"/>
      </w:pPr>
    </w:p>
    <w:sectPr w:rsidR="00E87E6F" w:rsidRPr="00E87E6F" w:rsidSect="00E87E6F">
      <w:headerReference w:type="even" r:id="rId22"/>
      <w:headerReference w:type="default" r:id="rId23"/>
      <w:footerReference w:type="default" r:id="rId24"/>
      <w:headerReference w:type="first" r:id="rId25"/>
      <w:footerReference w:type="first" r:id="rId26"/>
      <w:type w:val="continuous"/>
      <w:pgSz w:w="11906" w:h="16838" w:code="9"/>
      <w:pgMar w:top="1985" w:right="1440" w:bottom="1440" w:left="1440" w:header="425" w:footer="23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3DF" w:rsidRDefault="006433DF" w:rsidP="00837C83">
      <w:r>
        <w:separator/>
      </w:r>
    </w:p>
    <w:p w:rsidR="006433DF" w:rsidRDefault="006433DF" w:rsidP="00837C83"/>
    <w:p w:rsidR="006433DF" w:rsidRDefault="006433DF" w:rsidP="0084164C"/>
  </w:endnote>
  <w:endnote w:type="continuationSeparator" w:id="0">
    <w:p w:rsidR="006433DF" w:rsidRDefault="006433DF" w:rsidP="00837C83">
      <w:r>
        <w:continuationSeparator/>
      </w:r>
    </w:p>
    <w:p w:rsidR="006433DF" w:rsidRDefault="006433DF" w:rsidP="00837C83"/>
    <w:p w:rsidR="006433DF" w:rsidRDefault="006433DF" w:rsidP="00841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752471635"/>
      <w:docPartObj>
        <w:docPartGallery w:val="Page Numbers (Bottom of Page)"/>
        <w:docPartUnique/>
      </w:docPartObj>
    </w:sdtPr>
    <w:sdtEndPr>
      <w:rPr>
        <w:noProof/>
      </w:rPr>
    </w:sdtEndPr>
    <w:sdtContent>
      <w:p w:rsidR="0002457B" w:rsidRPr="007B0778" w:rsidRDefault="0002457B" w:rsidP="007B0778">
        <w:pPr>
          <w:pStyle w:val="Footer"/>
          <w:tabs>
            <w:tab w:val="clear" w:pos="8306"/>
            <w:tab w:val="right" w:pos="9026"/>
          </w:tabs>
          <w:rPr>
            <w:sz w:val="20"/>
            <w:szCs w:val="20"/>
          </w:rPr>
        </w:pPr>
        <w:r w:rsidRPr="00AE08A9">
          <w:rPr>
            <w:b/>
            <w:noProof/>
            <w:sz w:val="20"/>
            <w:szCs w:val="20"/>
            <w:lang w:eastAsia="en-AU"/>
          </w:rPr>
          <w:drawing>
            <wp:anchor distT="0" distB="0" distL="114300" distR="114300" simplePos="0" relativeHeight="251688448" behindDoc="0" locked="0" layoutInCell="1" allowOverlap="1" wp14:anchorId="31B72008" wp14:editId="5954B25D">
              <wp:simplePos x="0" y="0"/>
              <wp:positionH relativeFrom="column">
                <wp:posOffset>2838450</wp:posOffset>
              </wp:positionH>
              <wp:positionV relativeFrom="paragraph">
                <wp:posOffset>181610</wp:posOffset>
              </wp:positionV>
              <wp:extent cx="1339215" cy="45847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nd_SouthAust2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9215" cy="458470"/>
                      </a:xfrm>
                      <a:prstGeom prst="rect">
                        <a:avLst/>
                      </a:prstGeom>
                    </pic:spPr>
                  </pic:pic>
                </a:graphicData>
              </a:graphic>
              <wp14:sizeRelH relativeFrom="page">
                <wp14:pctWidth>0</wp14:pctWidth>
              </wp14:sizeRelH>
              <wp14:sizeRelV relativeFrom="page">
                <wp14:pctHeight>0</wp14:pctHeight>
              </wp14:sizeRelV>
            </wp:anchor>
          </w:drawing>
        </w:r>
        <w:r w:rsidRPr="00AE08A9">
          <w:rPr>
            <w:b/>
            <w:noProof/>
            <w:sz w:val="20"/>
            <w:szCs w:val="20"/>
            <w:lang w:eastAsia="en-AU"/>
          </w:rPr>
          <w:drawing>
            <wp:anchor distT="0" distB="0" distL="114300" distR="114300" simplePos="0" relativeHeight="251689472" behindDoc="0" locked="0" layoutInCell="1" allowOverlap="1" wp14:anchorId="214B835C" wp14:editId="68FB37A3">
              <wp:simplePos x="0" y="0"/>
              <wp:positionH relativeFrom="column">
                <wp:posOffset>4377055</wp:posOffset>
              </wp:positionH>
              <wp:positionV relativeFrom="paragraph">
                <wp:posOffset>76200</wp:posOffset>
              </wp:positionV>
              <wp:extent cx="1967865" cy="702945"/>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osa_colour_h.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67865" cy="702945"/>
                      </a:xfrm>
                      <a:prstGeom prst="rect">
                        <a:avLst/>
                      </a:prstGeom>
                    </pic:spPr>
                  </pic:pic>
                </a:graphicData>
              </a:graphic>
              <wp14:sizeRelH relativeFrom="page">
                <wp14:pctWidth>0</wp14:pctWidth>
              </wp14:sizeRelH>
              <wp14:sizeRelV relativeFrom="page">
                <wp14:pctHeight>0</wp14:pctHeight>
              </wp14:sizeRelV>
            </wp:anchor>
          </w:drawing>
        </w:r>
        <w:r w:rsidRPr="00AE08A9">
          <w:rPr>
            <w:b/>
            <w:sz w:val="20"/>
            <w:szCs w:val="20"/>
          </w:rPr>
          <w:t>Intellectual property policy</w:t>
        </w:r>
        <w:r>
          <w:rPr>
            <w:sz w:val="20"/>
            <w:szCs w:val="20"/>
          </w:rPr>
          <w:br/>
        </w:r>
        <w:r w:rsidRPr="007B0778">
          <w:rPr>
            <w:sz w:val="20"/>
            <w:szCs w:val="20"/>
          </w:rPr>
          <w:t xml:space="preserve">page </w:t>
        </w:r>
        <w:r w:rsidRPr="007B0778">
          <w:rPr>
            <w:sz w:val="20"/>
            <w:szCs w:val="20"/>
          </w:rPr>
          <w:fldChar w:fldCharType="begin"/>
        </w:r>
        <w:r w:rsidRPr="007B0778">
          <w:rPr>
            <w:sz w:val="20"/>
            <w:szCs w:val="20"/>
          </w:rPr>
          <w:instrText xml:space="preserve"> PAGE   \* MERGEFORMAT </w:instrText>
        </w:r>
        <w:r w:rsidRPr="007B0778">
          <w:rPr>
            <w:sz w:val="20"/>
            <w:szCs w:val="20"/>
          </w:rPr>
          <w:fldChar w:fldCharType="separate"/>
        </w:r>
        <w:r w:rsidR="00FC3CA0">
          <w:rPr>
            <w:noProof/>
            <w:sz w:val="20"/>
            <w:szCs w:val="20"/>
          </w:rPr>
          <w:t>4</w:t>
        </w:r>
        <w:r w:rsidRPr="007B0778">
          <w:rPr>
            <w:noProof/>
            <w:sz w:val="20"/>
            <w:szCs w:val="20"/>
          </w:rPr>
          <w:fldChar w:fldCharType="end"/>
        </w:r>
      </w:p>
    </w:sdtContent>
  </w:sdt>
  <w:p w:rsidR="0002457B" w:rsidRDefault="0002457B" w:rsidP="00837C8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7B" w:rsidRPr="007067A3" w:rsidRDefault="0002457B" w:rsidP="00837C83">
    <w:pPr>
      <w:pStyle w:val="Footer"/>
      <w:rPr>
        <w:lang w:val="en-US"/>
      </w:rPr>
    </w:pPr>
    <w:r>
      <w:rPr>
        <w:noProof/>
        <w:lang w:eastAsia="en-AU"/>
      </w:rPr>
      <w:drawing>
        <wp:anchor distT="0" distB="0" distL="114300" distR="114300" simplePos="0" relativeHeight="251687424" behindDoc="0" locked="0" layoutInCell="1" allowOverlap="1" wp14:anchorId="0892528B" wp14:editId="7075484E">
          <wp:simplePos x="0" y="0"/>
          <wp:positionH relativeFrom="column">
            <wp:posOffset>4375785</wp:posOffset>
          </wp:positionH>
          <wp:positionV relativeFrom="paragraph">
            <wp:posOffset>14605</wp:posOffset>
          </wp:positionV>
          <wp:extent cx="1701800" cy="469265"/>
          <wp:effectExtent l="0" t="0" r="0" b="698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sa_white_h.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1800" cy="469265"/>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86400" behindDoc="0" locked="0" layoutInCell="1" allowOverlap="1" wp14:anchorId="5E63BFCF" wp14:editId="33C2628F">
          <wp:simplePos x="0" y="0"/>
          <wp:positionH relativeFrom="column">
            <wp:posOffset>2735810</wp:posOffset>
          </wp:positionH>
          <wp:positionV relativeFrom="paragraph">
            <wp:posOffset>5080</wp:posOffset>
          </wp:positionV>
          <wp:extent cx="1271905" cy="438150"/>
          <wp:effectExtent l="0" t="0" r="444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rizontal - whit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1905" cy="43815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85376" behindDoc="1" locked="0" layoutInCell="1" allowOverlap="1" wp14:anchorId="434BD32D" wp14:editId="4EF14D46">
          <wp:simplePos x="0" y="0"/>
          <wp:positionH relativeFrom="column">
            <wp:posOffset>-693420</wp:posOffset>
          </wp:positionH>
          <wp:positionV relativeFrom="paragraph">
            <wp:posOffset>-67310</wp:posOffset>
          </wp:positionV>
          <wp:extent cx="7109460" cy="642471"/>
          <wp:effectExtent l="0" t="0" r="0" b="571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banner A4 Landscape.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109460" cy="642471"/>
                  </a:xfrm>
                  <a:prstGeom prst="rect">
                    <a:avLst/>
                  </a:prstGeom>
                </pic:spPr>
              </pic:pic>
            </a:graphicData>
          </a:graphic>
          <wp14:sizeRelH relativeFrom="page">
            <wp14:pctWidth>0</wp14:pctWidth>
          </wp14:sizeRelH>
          <wp14:sizeRelV relativeFrom="page">
            <wp14:pctHeight>0</wp14:pctHeight>
          </wp14:sizeRelV>
        </wp:anchor>
      </w:drawing>
    </w:r>
  </w:p>
  <w:p w:rsidR="0002457B" w:rsidRDefault="0002457B" w:rsidP="00837C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478" w:rsidRPr="00EE6478" w:rsidRDefault="00FC3CA0" w:rsidP="00EE6478">
    <w:pPr>
      <w:pStyle w:val="Footer"/>
      <w:tabs>
        <w:tab w:val="clear" w:pos="8306"/>
        <w:tab w:val="right" w:pos="9026"/>
      </w:tabs>
      <w:rPr>
        <w:sz w:val="20"/>
        <w:szCs w:val="20"/>
      </w:rPr>
    </w:pPr>
    <w:sdt>
      <w:sdtPr>
        <w:rPr>
          <w:sz w:val="20"/>
          <w:szCs w:val="20"/>
        </w:rPr>
        <w:id w:val="-609820667"/>
        <w:docPartObj>
          <w:docPartGallery w:val="Page Numbers (Bottom of Page)"/>
          <w:docPartUnique/>
        </w:docPartObj>
      </w:sdtPr>
      <w:sdtEndPr>
        <w:rPr>
          <w:noProof/>
        </w:rPr>
      </w:sdtEndPr>
      <w:sdtContent>
        <w:r w:rsidR="00EE6478" w:rsidRPr="00AE08A9">
          <w:rPr>
            <w:b/>
            <w:noProof/>
            <w:sz w:val="20"/>
            <w:szCs w:val="20"/>
            <w:lang w:eastAsia="en-AU"/>
          </w:rPr>
          <w:drawing>
            <wp:anchor distT="0" distB="0" distL="114300" distR="114300" simplePos="0" relativeHeight="251698688" behindDoc="0" locked="0" layoutInCell="1" allowOverlap="1" wp14:anchorId="1A2E4DCC" wp14:editId="7D6B5D01">
              <wp:simplePos x="0" y="0"/>
              <wp:positionH relativeFrom="column">
                <wp:posOffset>2838450</wp:posOffset>
              </wp:positionH>
              <wp:positionV relativeFrom="paragraph">
                <wp:posOffset>181610</wp:posOffset>
              </wp:positionV>
              <wp:extent cx="1339215" cy="458470"/>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nd_SouthAust2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9215" cy="458470"/>
                      </a:xfrm>
                      <a:prstGeom prst="rect">
                        <a:avLst/>
                      </a:prstGeom>
                    </pic:spPr>
                  </pic:pic>
                </a:graphicData>
              </a:graphic>
              <wp14:sizeRelH relativeFrom="page">
                <wp14:pctWidth>0</wp14:pctWidth>
              </wp14:sizeRelH>
              <wp14:sizeRelV relativeFrom="page">
                <wp14:pctHeight>0</wp14:pctHeight>
              </wp14:sizeRelV>
            </wp:anchor>
          </w:drawing>
        </w:r>
        <w:r w:rsidR="00EE6478" w:rsidRPr="00AE08A9">
          <w:rPr>
            <w:b/>
            <w:noProof/>
            <w:sz w:val="20"/>
            <w:szCs w:val="20"/>
            <w:lang w:eastAsia="en-AU"/>
          </w:rPr>
          <w:drawing>
            <wp:anchor distT="0" distB="0" distL="114300" distR="114300" simplePos="0" relativeHeight="251699712" behindDoc="0" locked="0" layoutInCell="1" allowOverlap="1" wp14:anchorId="1ADBDDA9" wp14:editId="7FD35E41">
              <wp:simplePos x="0" y="0"/>
              <wp:positionH relativeFrom="column">
                <wp:posOffset>4377055</wp:posOffset>
              </wp:positionH>
              <wp:positionV relativeFrom="paragraph">
                <wp:posOffset>76200</wp:posOffset>
              </wp:positionV>
              <wp:extent cx="1967865" cy="702945"/>
              <wp:effectExtent l="0" t="0" r="0" b="190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osa_colour_h.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67865" cy="702945"/>
                      </a:xfrm>
                      <a:prstGeom prst="rect">
                        <a:avLst/>
                      </a:prstGeom>
                    </pic:spPr>
                  </pic:pic>
                </a:graphicData>
              </a:graphic>
              <wp14:sizeRelH relativeFrom="page">
                <wp14:pctWidth>0</wp14:pctWidth>
              </wp14:sizeRelH>
              <wp14:sizeRelV relativeFrom="page">
                <wp14:pctHeight>0</wp14:pctHeight>
              </wp14:sizeRelV>
            </wp:anchor>
          </w:drawing>
        </w:r>
        <w:r w:rsidR="00EE6478" w:rsidRPr="00AE08A9">
          <w:rPr>
            <w:b/>
            <w:sz w:val="20"/>
            <w:szCs w:val="20"/>
          </w:rPr>
          <w:t>Intellectual property policy</w:t>
        </w:r>
        <w:r w:rsidR="00EE6478">
          <w:rPr>
            <w:sz w:val="20"/>
            <w:szCs w:val="20"/>
          </w:rPr>
          <w:br/>
        </w:r>
        <w:r w:rsidR="00EE6478" w:rsidRPr="007B0778">
          <w:rPr>
            <w:sz w:val="20"/>
            <w:szCs w:val="20"/>
          </w:rPr>
          <w:t xml:space="preserve">page </w:t>
        </w:r>
        <w:r w:rsidR="00EE6478" w:rsidRPr="007B0778">
          <w:rPr>
            <w:sz w:val="20"/>
            <w:szCs w:val="20"/>
          </w:rPr>
          <w:fldChar w:fldCharType="begin"/>
        </w:r>
        <w:r w:rsidR="00EE6478" w:rsidRPr="007B0778">
          <w:rPr>
            <w:sz w:val="20"/>
            <w:szCs w:val="20"/>
          </w:rPr>
          <w:instrText xml:space="preserve"> PAGE   \* MERGEFORMAT </w:instrText>
        </w:r>
        <w:r w:rsidR="00EE6478" w:rsidRPr="007B0778">
          <w:rPr>
            <w:sz w:val="20"/>
            <w:szCs w:val="20"/>
          </w:rPr>
          <w:fldChar w:fldCharType="separate"/>
        </w:r>
        <w:r w:rsidR="007E65FA">
          <w:rPr>
            <w:noProof/>
            <w:sz w:val="20"/>
            <w:szCs w:val="20"/>
          </w:rPr>
          <w:t>1</w:t>
        </w:r>
        <w:r w:rsidR="00EE6478" w:rsidRPr="007B0778">
          <w:rPr>
            <w:noProof/>
            <w:sz w:val="20"/>
            <w:szCs w:val="20"/>
          </w:rPr>
          <w:fldChar w:fldCharType="end"/>
        </w:r>
      </w:sdtContent>
    </w:sdt>
    <w:r w:rsidR="00EE6478">
      <w:rPr>
        <w:noProof/>
        <w:lang w:eastAsia="en-AU"/>
      </w:rPr>
      <w:drawing>
        <wp:anchor distT="0" distB="0" distL="114300" distR="114300" simplePos="0" relativeHeight="251694592" behindDoc="0" locked="0" layoutInCell="1" allowOverlap="1" wp14:anchorId="6AD3D6DA" wp14:editId="5BE6511F">
          <wp:simplePos x="0" y="0"/>
          <wp:positionH relativeFrom="column">
            <wp:posOffset>4375785</wp:posOffset>
          </wp:positionH>
          <wp:positionV relativeFrom="paragraph">
            <wp:posOffset>14605</wp:posOffset>
          </wp:positionV>
          <wp:extent cx="1701800" cy="469265"/>
          <wp:effectExtent l="0" t="0" r="0" b="698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sa_white_h.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701800" cy="469265"/>
                  </a:xfrm>
                  <a:prstGeom prst="rect">
                    <a:avLst/>
                  </a:prstGeom>
                </pic:spPr>
              </pic:pic>
            </a:graphicData>
          </a:graphic>
          <wp14:sizeRelH relativeFrom="page">
            <wp14:pctWidth>0</wp14:pctWidth>
          </wp14:sizeRelH>
          <wp14:sizeRelV relativeFrom="page">
            <wp14:pctHeight>0</wp14:pctHeight>
          </wp14:sizeRelV>
        </wp:anchor>
      </w:drawing>
    </w:r>
    <w:r w:rsidR="00EE6478">
      <w:rPr>
        <w:noProof/>
        <w:lang w:eastAsia="en-AU"/>
      </w:rPr>
      <w:drawing>
        <wp:anchor distT="0" distB="0" distL="114300" distR="114300" simplePos="0" relativeHeight="251693568" behindDoc="0" locked="0" layoutInCell="1" allowOverlap="1" wp14:anchorId="2DC2E9B4" wp14:editId="298C7742">
          <wp:simplePos x="0" y="0"/>
          <wp:positionH relativeFrom="column">
            <wp:posOffset>2735810</wp:posOffset>
          </wp:positionH>
          <wp:positionV relativeFrom="paragraph">
            <wp:posOffset>5080</wp:posOffset>
          </wp:positionV>
          <wp:extent cx="1271905" cy="438150"/>
          <wp:effectExtent l="0" t="0" r="444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rizontal - white.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71905" cy="438150"/>
                  </a:xfrm>
                  <a:prstGeom prst="rect">
                    <a:avLst/>
                  </a:prstGeom>
                </pic:spPr>
              </pic:pic>
            </a:graphicData>
          </a:graphic>
          <wp14:sizeRelH relativeFrom="page">
            <wp14:pctWidth>0</wp14:pctWidth>
          </wp14:sizeRelH>
          <wp14:sizeRelV relativeFrom="page">
            <wp14:pctHeight>0</wp14:pctHeight>
          </wp14:sizeRelV>
        </wp:anchor>
      </w:drawing>
    </w:r>
  </w:p>
  <w:p w:rsidR="00EE6478" w:rsidRDefault="00EE6478" w:rsidP="00837C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395658662"/>
      <w:docPartObj>
        <w:docPartGallery w:val="Page Numbers (Bottom of Page)"/>
        <w:docPartUnique/>
      </w:docPartObj>
    </w:sdtPr>
    <w:sdtEndPr>
      <w:rPr>
        <w:noProof/>
      </w:rPr>
    </w:sdtEndPr>
    <w:sdtContent>
      <w:p w:rsidR="00E87E6F" w:rsidRPr="007B0778" w:rsidRDefault="00AE08A9" w:rsidP="007B0778">
        <w:pPr>
          <w:pStyle w:val="Footer"/>
          <w:tabs>
            <w:tab w:val="clear" w:pos="8306"/>
            <w:tab w:val="right" w:pos="9026"/>
          </w:tabs>
          <w:rPr>
            <w:sz w:val="20"/>
            <w:szCs w:val="20"/>
          </w:rPr>
        </w:pPr>
        <w:r w:rsidRPr="00AE08A9">
          <w:rPr>
            <w:b/>
            <w:noProof/>
            <w:sz w:val="20"/>
            <w:szCs w:val="20"/>
            <w:lang w:eastAsia="en-AU"/>
          </w:rPr>
          <w:drawing>
            <wp:anchor distT="0" distB="0" distL="114300" distR="114300" simplePos="0" relativeHeight="251680256" behindDoc="0" locked="0" layoutInCell="1" allowOverlap="1" wp14:anchorId="159A9A1F" wp14:editId="67174424">
              <wp:simplePos x="0" y="0"/>
              <wp:positionH relativeFrom="column">
                <wp:posOffset>2838450</wp:posOffset>
              </wp:positionH>
              <wp:positionV relativeFrom="paragraph">
                <wp:posOffset>181610</wp:posOffset>
              </wp:positionV>
              <wp:extent cx="1339215" cy="4584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nd_SouthAust2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9215" cy="458470"/>
                      </a:xfrm>
                      <a:prstGeom prst="rect">
                        <a:avLst/>
                      </a:prstGeom>
                    </pic:spPr>
                  </pic:pic>
                </a:graphicData>
              </a:graphic>
              <wp14:sizeRelH relativeFrom="page">
                <wp14:pctWidth>0</wp14:pctWidth>
              </wp14:sizeRelH>
              <wp14:sizeRelV relativeFrom="page">
                <wp14:pctHeight>0</wp14:pctHeight>
              </wp14:sizeRelV>
            </wp:anchor>
          </w:drawing>
        </w:r>
        <w:r w:rsidRPr="00AE08A9">
          <w:rPr>
            <w:b/>
            <w:noProof/>
            <w:sz w:val="20"/>
            <w:szCs w:val="20"/>
            <w:lang w:eastAsia="en-AU"/>
          </w:rPr>
          <w:drawing>
            <wp:anchor distT="0" distB="0" distL="114300" distR="114300" simplePos="0" relativeHeight="251681280" behindDoc="0" locked="0" layoutInCell="1" allowOverlap="1" wp14:anchorId="029E11B7" wp14:editId="051A5DE5">
              <wp:simplePos x="0" y="0"/>
              <wp:positionH relativeFrom="column">
                <wp:posOffset>4377055</wp:posOffset>
              </wp:positionH>
              <wp:positionV relativeFrom="paragraph">
                <wp:posOffset>76200</wp:posOffset>
              </wp:positionV>
              <wp:extent cx="1967865" cy="702945"/>
              <wp:effectExtent l="0" t="0" r="0"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osa_colour_h.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67865" cy="702945"/>
                      </a:xfrm>
                      <a:prstGeom prst="rect">
                        <a:avLst/>
                      </a:prstGeom>
                    </pic:spPr>
                  </pic:pic>
                </a:graphicData>
              </a:graphic>
              <wp14:sizeRelH relativeFrom="page">
                <wp14:pctWidth>0</wp14:pctWidth>
              </wp14:sizeRelH>
              <wp14:sizeRelV relativeFrom="page">
                <wp14:pctHeight>0</wp14:pctHeight>
              </wp14:sizeRelV>
            </wp:anchor>
          </w:drawing>
        </w:r>
        <w:r w:rsidR="007B0778" w:rsidRPr="00AE08A9">
          <w:rPr>
            <w:b/>
            <w:sz w:val="20"/>
            <w:szCs w:val="20"/>
          </w:rPr>
          <w:t>Intellectual property policy</w:t>
        </w:r>
        <w:r>
          <w:rPr>
            <w:sz w:val="20"/>
            <w:szCs w:val="20"/>
          </w:rPr>
          <w:br/>
        </w:r>
      </w:p>
    </w:sdtContent>
  </w:sdt>
  <w:p w:rsidR="00E87E6F" w:rsidRDefault="00E87E6F" w:rsidP="00837C8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E6F" w:rsidRPr="007067A3" w:rsidRDefault="00E87E6F" w:rsidP="00837C83">
    <w:pPr>
      <w:pStyle w:val="Footer"/>
      <w:rPr>
        <w:lang w:val="en-US"/>
      </w:rPr>
    </w:pPr>
    <w:r>
      <w:rPr>
        <w:noProof/>
        <w:lang w:eastAsia="en-AU"/>
      </w:rPr>
      <w:drawing>
        <wp:anchor distT="0" distB="0" distL="114300" distR="114300" simplePos="0" relativeHeight="251678208" behindDoc="0" locked="0" layoutInCell="1" allowOverlap="1" wp14:anchorId="5F90C773" wp14:editId="50406C85">
          <wp:simplePos x="0" y="0"/>
          <wp:positionH relativeFrom="column">
            <wp:posOffset>4375785</wp:posOffset>
          </wp:positionH>
          <wp:positionV relativeFrom="paragraph">
            <wp:posOffset>14605</wp:posOffset>
          </wp:positionV>
          <wp:extent cx="1701800" cy="469265"/>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sa_white_h.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1800" cy="469265"/>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77184" behindDoc="0" locked="0" layoutInCell="1" allowOverlap="1" wp14:anchorId="52900E7F" wp14:editId="7B88F25A">
          <wp:simplePos x="0" y="0"/>
          <wp:positionH relativeFrom="column">
            <wp:posOffset>2735810</wp:posOffset>
          </wp:positionH>
          <wp:positionV relativeFrom="paragraph">
            <wp:posOffset>5080</wp:posOffset>
          </wp:positionV>
          <wp:extent cx="1271905" cy="43815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rizontal - whit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1905" cy="43815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76160" behindDoc="1" locked="0" layoutInCell="1" allowOverlap="1" wp14:anchorId="4FC66D31" wp14:editId="0A57CC71">
          <wp:simplePos x="0" y="0"/>
          <wp:positionH relativeFrom="column">
            <wp:posOffset>-693420</wp:posOffset>
          </wp:positionH>
          <wp:positionV relativeFrom="paragraph">
            <wp:posOffset>-67310</wp:posOffset>
          </wp:positionV>
          <wp:extent cx="7109460" cy="642471"/>
          <wp:effectExtent l="0" t="0" r="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banner A4 Landscape.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109460" cy="642471"/>
                  </a:xfrm>
                  <a:prstGeom prst="rect">
                    <a:avLst/>
                  </a:prstGeom>
                </pic:spPr>
              </pic:pic>
            </a:graphicData>
          </a:graphic>
          <wp14:sizeRelH relativeFrom="page">
            <wp14:pctWidth>0</wp14:pctWidth>
          </wp14:sizeRelH>
          <wp14:sizeRelV relativeFrom="page">
            <wp14:pctHeight>0</wp14:pctHeight>
          </wp14:sizeRelV>
        </wp:anchor>
      </w:drawing>
    </w:r>
  </w:p>
  <w:p w:rsidR="00E87E6F" w:rsidRDefault="00E87E6F" w:rsidP="00837C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3DF" w:rsidRDefault="006433DF" w:rsidP="00837C83">
      <w:r>
        <w:separator/>
      </w:r>
    </w:p>
    <w:p w:rsidR="006433DF" w:rsidRDefault="006433DF" w:rsidP="00837C83"/>
    <w:p w:rsidR="006433DF" w:rsidRDefault="006433DF" w:rsidP="0084164C"/>
  </w:footnote>
  <w:footnote w:type="continuationSeparator" w:id="0">
    <w:p w:rsidR="006433DF" w:rsidRDefault="006433DF" w:rsidP="00837C83">
      <w:r>
        <w:continuationSeparator/>
      </w:r>
    </w:p>
    <w:p w:rsidR="006433DF" w:rsidRDefault="006433DF" w:rsidP="00837C83"/>
    <w:p w:rsidR="006433DF" w:rsidRDefault="006433DF" w:rsidP="008416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57B" w:rsidRDefault="0002457B">
    <w:pPr>
      <w:pStyle w:val="Header"/>
    </w:pPr>
    <w:r>
      <w:rPr>
        <w:noProof/>
        <w:lang w:eastAsia="en-AU"/>
      </w:rPr>
      <mc:AlternateContent>
        <mc:Choice Requires="wps">
          <w:drawing>
            <wp:anchor distT="0" distB="0" distL="114300" distR="114300" simplePos="0" relativeHeight="251690496" behindDoc="0" locked="0" layoutInCell="1" allowOverlap="1" wp14:anchorId="7AEDA443" wp14:editId="09C3A5AA">
              <wp:simplePos x="0" y="0"/>
              <wp:positionH relativeFrom="column">
                <wp:posOffset>-793750</wp:posOffset>
              </wp:positionH>
              <wp:positionV relativeFrom="paragraph">
                <wp:posOffset>-635</wp:posOffset>
              </wp:positionV>
              <wp:extent cx="7292975" cy="217805"/>
              <wp:effectExtent l="0" t="0" r="3175"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2975" cy="217805"/>
                      </a:xfrm>
                      <a:prstGeom prst="rect">
                        <a:avLst/>
                      </a:prstGeom>
                      <a:solidFill>
                        <a:srgbClr val="E51D2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9EEE1" id="Rectangle 6" o:spid="_x0000_s1026" style="position:absolute;margin-left:-62.5pt;margin-top:-.05pt;width:574.25pt;height:17.1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kuTfwIAAPsEAAAOAAAAZHJzL2Uyb0RvYy54bWysVNuO0zAQfUfiHyy/d3NR2jRR09XudouQ&#10;Flix8AGu7TQWjm1st+mC+HfGTlu68IIQfXA9mfHxmZkzXlwfeon23DqhVYOzqxQjrqhmQm0b/PnT&#10;ejLHyHmiGJFa8QY/c4evl69fLQZT81x3WjJuEYAoVw+mwZ33pk4SRzveE3elDVfgbLXtiQfTbhNm&#10;yQDovUzyNJ0lg7bMWE25c/B1NTrxMuK3Laf+Q9s67pFsMHDzcbVx3YQ1WS5IvbXEdIIeaZB/YNET&#10;oeDSM9SKeIJ2VvwB1QtqtdOtv6K6T3TbCspjDpBNlv6WzVNHDI+5QHGcOZfJ/T9Y+n7/aJFgDS4x&#10;UqSHFn2EohG1lRzNQnkG42qIejKPNiTozIOmXxxS+q6DKH5jrR46ThiQykJ88uJAMBwcRZvhnWaA&#10;TnZex0odWtsHQKgBOsSGPJ8bwg8eUfhY5lVelVOMKPjyrJyn03gFqU+njXX+Ddc9CpsGW+Ae0cn+&#10;wfnAhtSnkMheS8HWQspo2O3mTlq0JyCO+2m2yk/o7jJMqhCsdDg2Io5fgCTcEXyBbmz29yrLi/Q2&#10;rybr2bycFOtiOqnKdD5Js+q2mqVFVazWPwLBrKg7wRhXD0Lxk/Cy4u8aexyBUTJRemhocDUF/jGv&#10;S/buMsk0/o4lfJFkLzzMoRR9g+fnIFKHxt4rBmmT2hMhx33ykn6sMtTg9B+rEmUQOj8qaKPZM6jA&#10;amgSzCG8GLDptP2G0QDT12D3dUcsx0i+VaCkKiuKMK7RKKZlDoa99GwuPURRgGqwx2jc3vlxxHfG&#10;im0HN2WxMErfgPpaEYURlDmyOmoWJixmcHwNwghf2jHq15u1/AkAAP//AwBQSwMEFAAGAAgAAAAh&#10;ALEmDZDhAAAACgEAAA8AAABkcnMvZG93bnJldi54bWxMj8FOwzAQRO9I/IO1SFxQ6ySlgEKcqgLB&#10;pYBE4dLb1t4mEfE6it0m/XucE9xmNaPZN8VqtK04Ue8bxwrSeQKCWDvTcKXg++tl9gDCB2SDrWNS&#10;cCYPq/LyosDcuIE/6bQNlYgl7HNUUIfQ5VJ6XZNFP3cdcfQOrrcY4tlX0vQ4xHLbyixJ7qTFhuOH&#10;Gjt6qkn/bI9WwceN3pz1c6U3h9d3ef+2G3ZDulbq+mpcP4IINIa/MEz4ER3KyLR3RzZetApmabaM&#10;Y8KkQEyBJFssQewVLG4zkGUh/08ofwEAAP//AwBQSwECLQAUAAYACAAAACEAtoM4kv4AAADhAQAA&#10;EwAAAAAAAAAAAAAAAAAAAAAAW0NvbnRlbnRfVHlwZXNdLnhtbFBLAQItABQABgAIAAAAIQA4/SH/&#10;1gAAAJQBAAALAAAAAAAAAAAAAAAAAC8BAABfcmVscy8ucmVsc1BLAQItABQABgAIAAAAIQC8UkuT&#10;fwIAAPsEAAAOAAAAAAAAAAAAAAAAAC4CAABkcnMvZTJvRG9jLnhtbFBLAQItABQABgAIAAAAIQCx&#10;Jg2Q4QAAAAoBAAAPAAAAAAAAAAAAAAAAANkEAABkcnMvZG93bnJldi54bWxQSwUGAAAAAAQABADz&#10;AAAA5wUAAAAA&#10;" fillcolor="#e51d25" stroked="f"/>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8A9" w:rsidRDefault="00AE08A9">
    <w:pPr>
      <w:pStyle w:val="Header"/>
    </w:pPr>
    <w:r>
      <w:rPr>
        <w:noProof/>
        <w:lang w:eastAsia="en-AU"/>
      </w:rPr>
      <mc:AlternateContent>
        <mc:Choice Requires="wps">
          <w:drawing>
            <wp:anchor distT="0" distB="0" distL="114300" distR="114300" simplePos="0" relativeHeight="251683328" behindDoc="0" locked="0" layoutInCell="1" allowOverlap="1" wp14:anchorId="0CC7E2CA" wp14:editId="6B54219E">
              <wp:simplePos x="0" y="0"/>
              <wp:positionH relativeFrom="column">
                <wp:posOffset>-793750</wp:posOffset>
              </wp:positionH>
              <wp:positionV relativeFrom="paragraph">
                <wp:posOffset>-635</wp:posOffset>
              </wp:positionV>
              <wp:extent cx="7292975" cy="217805"/>
              <wp:effectExtent l="0" t="0" r="3175" b="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92975" cy="217805"/>
                      </a:xfrm>
                      <a:prstGeom prst="rect">
                        <a:avLst/>
                      </a:prstGeom>
                      <a:solidFill>
                        <a:srgbClr val="E51D2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075A4" id="Rectangle 6" o:spid="_x0000_s1026" style="position:absolute;margin-left:-62.5pt;margin-top:-.05pt;width:574.25pt;height:17.1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gVfgIAAPsEAAAOAAAAZHJzL2Uyb0RvYy54bWysVNuO0zAQfUfiHyy/d3NReknUdLXbbhHS&#10;AisWPsC1ncbCsY3tNl0Q/87YaUsLLwjRB9eTGR+fmTnj+e2hk2jPrRNa1Ti7STHiimom1LbGnz+t&#10;RzOMnCeKEakVr/ELd/h28frVvDcVz3WrJeMWAYhyVW9q3HpvqiRxtOUdcTfacAXORtuOeDDtNmGW&#10;9IDeySRP00nSa8uM1ZQ7B19XgxMvIn7TcOo/NI3jHskaAzcfVxvXTViTxZxUW0tMK+iRBvkHFh0R&#10;Ci49Q62IJ2hnxR9QnaBWO934G6q7RDeNoDzmANlk6W/ZPLfE8JgLFMeZc5nc/4Ol7/dPFglWY2iU&#10;Ih206CMUjait5GgSytMbV0HUs3myIUFnHjX94pDSyxai+J21um85YUAqC/HJ1YFgODiKNv07zQCd&#10;7LyOlTo0tguAUAN0iA15OTeEHzyi8HGal3k5HWNEwZdn01k6jleQ6nTaWOffcN2hsKmxBe4Rnewf&#10;nQ9sSHUKiey1FGwtpIyG3W6W0qI9AXE8jLNVfkJ3l2FShWClw7EBcfgCJOGO4At0Y7O/l1lepPd5&#10;OVpPZtNRsS7Go3KazkZpVt6Xk7Qoi9X6RyCYFVUrGOPqUSh+El5W/F1jjyMwSCZKD/U1LsfAP+Z1&#10;yd5dJpnG37GEV0l2wsMcStGBEM5BpAqNfVAM0iaVJ0IO++Safqwy1OD0H6sSZRA6Pyhoo9kLqMBq&#10;aBLMIbwYsGm1/YZRD9NXY/d1RyzHSL5VoKQyK4owrtEoxtMcDHvp2Vx6iKIAVWOP0bBd+mHEd8aK&#10;bQs3ZbEwSt+B+hoRhRGUObA6ahYmLGZwfA3CCF/aMerXm7X4CQAA//8DAFBLAwQUAAYACAAAACEA&#10;sSYNkOEAAAAKAQAADwAAAGRycy9kb3ducmV2LnhtbEyPwU7DMBBE70j8g7VIXFDrJKWAQpyqAsGl&#10;gETh0tvW3iYR8TqK3Sb9e5wT3GY1o9k3xWq0rThR7xvHCtJ5AoJYO9NwpeD762X2AMIHZIOtY1Jw&#10;Jg+r8vKiwNy4gT/ptA2ViCXsc1RQh9DlUnpdk0U/dx1x9A6utxji2VfS9DjEctvKLEnupMWG44ca&#10;O3qqSf9sj1bBx43enPVzpTeH13d5/7YbdkO6Vur6alw/ggg0hr8wTPgRHcrItHdHNl60CmZptoxj&#10;wqRATIEkWyxB7BUsbjOQZSH/Tyh/AQAA//8DAFBLAQItABQABgAIAAAAIQC2gziS/gAAAOEBAAAT&#10;AAAAAAAAAAAAAAAAAAAAAABbQ29udGVudF9UeXBlc10ueG1sUEsBAi0AFAAGAAgAAAAhADj9If/W&#10;AAAAlAEAAAsAAAAAAAAAAAAAAAAALwEAAF9yZWxzLy5yZWxzUEsBAi0AFAAGAAgAAAAhAP352BV+&#10;AgAA+wQAAA4AAAAAAAAAAAAAAAAALgIAAGRycy9lMm9Eb2MueG1sUEsBAi0AFAAGAAgAAAAhALEm&#10;DZDhAAAACgEAAA8AAAAAAAAAAAAAAAAA2AQAAGRycy9kb3ducmV2LnhtbFBLBQYAAAAABAAEAPMA&#10;AADmBQAAAAA=&#10;" fillcolor="#e51d25" stroked="f"/>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980" w:rsidRDefault="00843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B068514"/>
    <w:lvl w:ilvl="0">
      <w:start w:val="1"/>
      <w:numFmt w:val="bullet"/>
      <w:pStyle w:val="ListBullet"/>
      <w:lvlText w:val="•"/>
      <w:lvlJc w:val="left"/>
      <w:pPr>
        <w:ind w:left="360" w:hanging="360"/>
      </w:pPr>
      <w:rPr>
        <w:rFonts w:ascii="Cambria" w:hAnsi="Cambria" w:hint="default"/>
        <w:color w:val="4F81BD" w:themeColor="accent1"/>
      </w:rPr>
    </w:lvl>
  </w:abstractNum>
  <w:abstractNum w:abstractNumId="1" w15:restartNumberingAfterBreak="0">
    <w:nsid w:val="000F680B"/>
    <w:multiLevelType w:val="hybridMultilevel"/>
    <w:tmpl w:val="7B76D4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0421CE5"/>
    <w:multiLevelType w:val="hybridMultilevel"/>
    <w:tmpl w:val="88EE9BC4"/>
    <w:lvl w:ilvl="0" w:tplc="518E4EBA">
      <w:start w:val="1"/>
      <w:numFmt w:val="decimal"/>
      <w:pStyle w:val="Heading4"/>
      <w:lvlText w:val="%1.1.1"/>
      <w:lvlJc w:val="left"/>
      <w:pPr>
        <w:ind w:left="106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7A15A74"/>
    <w:multiLevelType w:val="hybridMultilevel"/>
    <w:tmpl w:val="9566D9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E115A5F"/>
    <w:multiLevelType w:val="multilevel"/>
    <w:tmpl w:val="F3E6831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pStyle w:val="Heading3"/>
      <w:lvlText w:val="%3.%1"/>
      <w:lvlJc w:val="left"/>
      <w:pPr>
        <w:tabs>
          <w:tab w:val="num" w:pos="709"/>
        </w:tabs>
        <w:ind w:left="709" w:hanging="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98A7D3B"/>
    <w:multiLevelType w:val="hybridMultilevel"/>
    <w:tmpl w:val="6898FB5C"/>
    <w:lvl w:ilvl="0" w:tplc="9A505D0C">
      <w:start w:val="1"/>
      <w:numFmt w:val="decimal"/>
      <w:pStyle w:val="TableLIstNumbered"/>
      <w:lvlText w:val="%1"/>
      <w:lvlJc w:val="left"/>
      <w:pPr>
        <w:ind w:left="1296" w:hanging="360"/>
      </w:pPr>
      <w:rPr>
        <w:rFonts w:hint="default"/>
        <w:caps w:val="0"/>
        <w:strike w:val="0"/>
        <w:dstrike w:val="0"/>
        <w:vanish w:val="0"/>
        <w:color w:val="808080" w:themeColor="background1" w:themeShade="80"/>
        <w:kern w:val="0"/>
        <w:sz w:val="20"/>
        <w:vertAlign w:val="baseline"/>
        <w14:cntxtAlts w14:val="0"/>
      </w:rPr>
    </w:lvl>
    <w:lvl w:ilvl="1" w:tplc="0C090003" w:tentative="1">
      <w:start w:val="1"/>
      <w:numFmt w:val="bullet"/>
      <w:lvlText w:val="o"/>
      <w:lvlJc w:val="left"/>
      <w:pPr>
        <w:ind w:left="2016" w:hanging="360"/>
      </w:pPr>
      <w:rPr>
        <w:rFonts w:ascii="Courier New" w:hAnsi="Courier New" w:cs="Courier New" w:hint="default"/>
      </w:rPr>
    </w:lvl>
    <w:lvl w:ilvl="2" w:tplc="0C090005" w:tentative="1">
      <w:start w:val="1"/>
      <w:numFmt w:val="bullet"/>
      <w:lvlText w:val=""/>
      <w:lvlJc w:val="left"/>
      <w:pPr>
        <w:ind w:left="2736" w:hanging="360"/>
      </w:pPr>
      <w:rPr>
        <w:rFonts w:ascii="Wingdings" w:hAnsi="Wingdings" w:hint="default"/>
      </w:rPr>
    </w:lvl>
    <w:lvl w:ilvl="3" w:tplc="0C090001" w:tentative="1">
      <w:start w:val="1"/>
      <w:numFmt w:val="bullet"/>
      <w:lvlText w:val=""/>
      <w:lvlJc w:val="left"/>
      <w:pPr>
        <w:ind w:left="3456" w:hanging="360"/>
      </w:pPr>
      <w:rPr>
        <w:rFonts w:ascii="Symbol" w:hAnsi="Symbol" w:hint="default"/>
      </w:rPr>
    </w:lvl>
    <w:lvl w:ilvl="4" w:tplc="0C090003" w:tentative="1">
      <w:start w:val="1"/>
      <w:numFmt w:val="bullet"/>
      <w:lvlText w:val="o"/>
      <w:lvlJc w:val="left"/>
      <w:pPr>
        <w:ind w:left="4176" w:hanging="360"/>
      </w:pPr>
      <w:rPr>
        <w:rFonts w:ascii="Courier New" w:hAnsi="Courier New" w:cs="Courier New" w:hint="default"/>
      </w:rPr>
    </w:lvl>
    <w:lvl w:ilvl="5" w:tplc="0C090005" w:tentative="1">
      <w:start w:val="1"/>
      <w:numFmt w:val="bullet"/>
      <w:lvlText w:val=""/>
      <w:lvlJc w:val="left"/>
      <w:pPr>
        <w:ind w:left="4896" w:hanging="360"/>
      </w:pPr>
      <w:rPr>
        <w:rFonts w:ascii="Wingdings" w:hAnsi="Wingdings" w:hint="default"/>
      </w:rPr>
    </w:lvl>
    <w:lvl w:ilvl="6" w:tplc="0C090001" w:tentative="1">
      <w:start w:val="1"/>
      <w:numFmt w:val="bullet"/>
      <w:lvlText w:val=""/>
      <w:lvlJc w:val="left"/>
      <w:pPr>
        <w:ind w:left="5616" w:hanging="360"/>
      </w:pPr>
      <w:rPr>
        <w:rFonts w:ascii="Symbol" w:hAnsi="Symbol" w:hint="default"/>
      </w:rPr>
    </w:lvl>
    <w:lvl w:ilvl="7" w:tplc="0C090003" w:tentative="1">
      <w:start w:val="1"/>
      <w:numFmt w:val="bullet"/>
      <w:lvlText w:val="o"/>
      <w:lvlJc w:val="left"/>
      <w:pPr>
        <w:ind w:left="6336" w:hanging="360"/>
      </w:pPr>
      <w:rPr>
        <w:rFonts w:ascii="Courier New" w:hAnsi="Courier New" w:cs="Courier New" w:hint="default"/>
      </w:rPr>
    </w:lvl>
    <w:lvl w:ilvl="8" w:tplc="0C090005" w:tentative="1">
      <w:start w:val="1"/>
      <w:numFmt w:val="bullet"/>
      <w:lvlText w:val=""/>
      <w:lvlJc w:val="left"/>
      <w:pPr>
        <w:ind w:left="7056" w:hanging="360"/>
      </w:pPr>
      <w:rPr>
        <w:rFonts w:ascii="Wingdings" w:hAnsi="Wingdings" w:hint="default"/>
      </w:rPr>
    </w:lvl>
  </w:abstractNum>
  <w:abstractNum w:abstractNumId="6" w15:restartNumberingAfterBreak="0">
    <w:nsid w:val="1C093C5D"/>
    <w:multiLevelType w:val="hybridMultilevel"/>
    <w:tmpl w:val="4D343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084938"/>
    <w:multiLevelType w:val="hybridMultilevel"/>
    <w:tmpl w:val="C362FA2E"/>
    <w:lvl w:ilvl="0" w:tplc="628AACD2">
      <w:start w:val="1"/>
      <w:numFmt w:val="bullet"/>
      <w:pStyle w:val="ListParagraph"/>
      <w:lvlText w:val=""/>
      <w:lvlJc w:val="left"/>
      <w:pPr>
        <w:ind w:left="1296" w:hanging="360"/>
      </w:pPr>
      <w:rPr>
        <w:rFonts w:ascii="Symbol" w:hAnsi="Symbol" w:hint="default"/>
        <w:caps w:val="0"/>
        <w:strike w:val="0"/>
        <w:dstrike w:val="0"/>
        <w:vanish w:val="0"/>
        <w:color w:val="808080" w:themeColor="background1" w:themeShade="80"/>
        <w:kern w:val="0"/>
        <w:sz w:val="22"/>
        <w:vertAlign w:val="baseline"/>
        <w14:cntxtAlts w14:val="0"/>
      </w:rPr>
    </w:lvl>
    <w:lvl w:ilvl="1" w:tplc="0C090003" w:tentative="1">
      <w:start w:val="1"/>
      <w:numFmt w:val="bullet"/>
      <w:lvlText w:val="o"/>
      <w:lvlJc w:val="left"/>
      <w:pPr>
        <w:ind w:left="2016" w:hanging="360"/>
      </w:pPr>
      <w:rPr>
        <w:rFonts w:ascii="Courier New" w:hAnsi="Courier New" w:cs="Courier New" w:hint="default"/>
      </w:rPr>
    </w:lvl>
    <w:lvl w:ilvl="2" w:tplc="0C090005" w:tentative="1">
      <w:start w:val="1"/>
      <w:numFmt w:val="bullet"/>
      <w:lvlText w:val=""/>
      <w:lvlJc w:val="left"/>
      <w:pPr>
        <w:ind w:left="2736" w:hanging="360"/>
      </w:pPr>
      <w:rPr>
        <w:rFonts w:ascii="Wingdings" w:hAnsi="Wingdings" w:hint="default"/>
      </w:rPr>
    </w:lvl>
    <w:lvl w:ilvl="3" w:tplc="0C090001" w:tentative="1">
      <w:start w:val="1"/>
      <w:numFmt w:val="bullet"/>
      <w:lvlText w:val=""/>
      <w:lvlJc w:val="left"/>
      <w:pPr>
        <w:ind w:left="3456" w:hanging="360"/>
      </w:pPr>
      <w:rPr>
        <w:rFonts w:ascii="Symbol" w:hAnsi="Symbol" w:hint="default"/>
      </w:rPr>
    </w:lvl>
    <w:lvl w:ilvl="4" w:tplc="0C090003" w:tentative="1">
      <w:start w:val="1"/>
      <w:numFmt w:val="bullet"/>
      <w:lvlText w:val="o"/>
      <w:lvlJc w:val="left"/>
      <w:pPr>
        <w:ind w:left="4176" w:hanging="360"/>
      </w:pPr>
      <w:rPr>
        <w:rFonts w:ascii="Courier New" w:hAnsi="Courier New" w:cs="Courier New" w:hint="default"/>
      </w:rPr>
    </w:lvl>
    <w:lvl w:ilvl="5" w:tplc="0C090005" w:tentative="1">
      <w:start w:val="1"/>
      <w:numFmt w:val="bullet"/>
      <w:lvlText w:val=""/>
      <w:lvlJc w:val="left"/>
      <w:pPr>
        <w:ind w:left="4896" w:hanging="360"/>
      </w:pPr>
      <w:rPr>
        <w:rFonts w:ascii="Wingdings" w:hAnsi="Wingdings" w:hint="default"/>
      </w:rPr>
    </w:lvl>
    <w:lvl w:ilvl="6" w:tplc="0C090001" w:tentative="1">
      <w:start w:val="1"/>
      <w:numFmt w:val="bullet"/>
      <w:lvlText w:val=""/>
      <w:lvlJc w:val="left"/>
      <w:pPr>
        <w:ind w:left="5616" w:hanging="360"/>
      </w:pPr>
      <w:rPr>
        <w:rFonts w:ascii="Symbol" w:hAnsi="Symbol" w:hint="default"/>
      </w:rPr>
    </w:lvl>
    <w:lvl w:ilvl="7" w:tplc="0C090003" w:tentative="1">
      <w:start w:val="1"/>
      <w:numFmt w:val="bullet"/>
      <w:lvlText w:val="o"/>
      <w:lvlJc w:val="left"/>
      <w:pPr>
        <w:ind w:left="6336" w:hanging="360"/>
      </w:pPr>
      <w:rPr>
        <w:rFonts w:ascii="Courier New" w:hAnsi="Courier New" w:cs="Courier New" w:hint="default"/>
      </w:rPr>
    </w:lvl>
    <w:lvl w:ilvl="8" w:tplc="0C090005" w:tentative="1">
      <w:start w:val="1"/>
      <w:numFmt w:val="bullet"/>
      <w:lvlText w:val=""/>
      <w:lvlJc w:val="left"/>
      <w:pPr>
        <w:ind w:left="7056" w:hanging="360"/>
      </w:pPr>
      <w:rPr>
        <w:rFonts w:ascii="Wingdings" w:hAnsi="Wingdings" w:hint="default"/>
      </w:rPr>
    </w:lvl>
  </w:abstractNum>
  <w:abstractNum w:abstractNumId="8" w15:restartNumberingAfterBreak="0">
    <w:nsid w:val="205340C3"/>
    <w:multiLevelType w:val="hybridMultilevel"/>
    <w:tmpl w:val="6E4E25E4"/>
    <w:lvl w:ilvl="0" w:tplc="4060FB42">
      <w:start w:val="1"/>
      <w:numFmt w:val="bullet"/>
      <w:lvlText w:val=""/>
      <w:lvlJc w:val="left"/>
      <w:pPr>
        <w:ind w:left="936" w:hanging="360"/>
      </w:pPr>
      <w:rPr>
        <w:rFonts w:ascii="Symbol" w:hAnsi="Symbol" w:hint="default"/>
        <w:caps w:val="0"/>
        <w:strike w:val="0"/>
        <w:dstrike w:val="0"/>
        <w:vanish w:val="0"/>
        <w:color w:val="auto"/>
        <w:kern w:val="0"/>
        <w:sz w:val="22"/>
        <w:vertAlign w:val="baseline"/>
        <w14:cntxtAlts w14:val="0"/>
      </w:rPr>
    </w:lvl>
    <w:lvl w:ilvl="1" w:tplc="0C090003" w:tentative="1">
      <w:start w:val="1"/>
      <w:numFmt w:val="bullet"/>
      <w:lvlText w:val="o"/>
      <w:lvlJc w:val="left"/>
      <w:pPr>
        <w:ind w:left="1656" w:hanging="360"/>
      </w:pPr>
      <w:rPr>
        <w:rFonts w:ascii="Courier New" w:hAnsi="Courier New" w:cs="Courier New" w:hint="default"/>
      </w:rPr>
    </w:lvl>
    <w:lvl w:ilvl="2" w:tplc="0C090005" w:tentative="1">
      <w:start w:val="1"/>
      <w:numFmt w:val="bullet"/>
      <w:lvlText w:val=""/>
      <w:lvlJc w:val="left"/>
      <w:pPr>
        <w:ind w:left="2376" w:hanging="360"/>
      </w:pPr>
      <w:rPr>
        <w:rFonts w:ascii="Wingdings" w:hAnsi="Wingdings" w:hint="default"/>
      </w:rPr>
    </w:lvl>
    <w:lvl w:ilvl="3" w:tplc="0C090001" w:tentative="1">
      <w:start w:val="1"/>
      <w:numFmt w:val="bullet"/>
      <w:lvlText w:val=""/>
      <w:lvlJc w:val="left"/>
      <w:pPr>
        <w:ind w:left="3096" w:hanging="360"/>
      </w:pPr>
      <w:rPr>
        <w:rFonts w:ascii="Symbol" w:hAnsi="Symbol" w:hint="default"/>
      </w:rPr>
    </w:lvl>
    <w:lvl w:ilvl="4" w:tplc="0C090003" w:tentative="1">
      <w:start w:val="1"/>
      <w:numFmt w:val="bullet"/>
      <w:lvlText w:val="o"/>
      <w:lvlJc w:val="left"/>
      <w:pPr>
        <w:ind w:left="3816" w:hanging="360"/>
      </w:pPr>
      <w:rPr>
        <w:rFonts w:ascii="Courier New" w:hAnsi="Courier New" w:cs="Courier New" w:hint="default"/>
      </w:rPr>
    </w:lvl>
    <w:lvl w:ilvl="5" w:tplc="0C090005" w:tentative="1">
      <w:start w:val="1"/>
      <w:numFmt w:val="bullet"/>
      <w:lvlText w:val=""/>
      <w:lvlJc w:val="left"/>
      <w:pPr>
        <w:ind w:left="4536" w:hanging="360"/>
      </w:pPr>
      <w:rPr>
        <w:rFonts w:ascii="Wingdings" w:hAnsi="Wingdings" w:hint="default"/>
      </w:rPr>
    </w:lvl>
    <w:lvl w:ilvl="6" w:tplc="0C090001" w:tentative="1">
      <w:start w:val="1"/>
      <w:numFmt w:val="bullet"/>
      <w:lvlText w:val=""/>
      <w:lvlJc w:val="left"/>
      <w:pPr>
        <w:ind w:left="5256" w:hanging="360"/>
      </w:pPr>
      <w:rPr>
        <w:rFonts w:ascii="Symbol" w:hAnsi="Symbol" w:hint="default"/>
      </w:rPr>
    </w:lvl>
    <w:lvl w:ilvl="7" w:tplc="0C090003" w:tentative="1">
      <w:start w:val="1"/>
      <w:numFmt w:val="bullet"/>
      <w:lvlText w:val="o"/>
      <w:lvlJc w:val="left"/>
      <w:pPr>
        <w:ind w:left="5976" w:hanging="360"/>
      </w:pPr>
      <w:rPr>
        <w:rFonts w:ascii="Courier New" w:hAnsi="Courier New" w:cs="Courier New" w:hint="default"/>
      </w:rPr>
    </w:lvl>
    <w:lvl w:ilvl="8" w:tplc="0C090005" w:tentative="1">
      <w:start w:val="1"/>
      <w:numFmt w:val="bullet"/>
      <w:lvlText w:val=""/>
      <w:lvlJc w:val="left"/>
      <w:pPr>
        <w:ind w:left="6696" w:hanging="360"/>
      </w:pPr>
      <w:rPr>
        <w:rFonts w:ascii="Wingdings" w:hAnsi="Wingdings" w:hint="default"/>
      </w:rPr>
    </w:lvl>
  </w:abstractNum>
  <w:abstractNum w:abstractNumId="9" w15:restartNumberingAfterBreak="0">
    <w:nsid w:val="224A1679"/>
    <w:multiLevelType w:val="hybridMultilevel"/>
    <w:tmpl w:val="D3E23EF4"/>
    <w:lvl w:ilvl="0" w:tplc="E2E615A6">
      <w:start w:val="1"/>
      <w:numFmt w:val="decimal"/>
      <w:lvlText w:val="%1"/>
      <w:lvlJc w:val="left"/>
      <w:pPr>
        <w:ind w:left="1296" w:hanging="360"/>
      </w:pPr>
      <w:rPr>
        <w:rFonts w:hint="default"/>
        <w:caps w:val="0"/>
        <w:strike w:val="0"/>
        <w:dstrike w:val="0"/>
        <w:vanish w:val="0"/>
        <w:color w:val="808080" w:themeColor="background1" w:themeShade="80"/>
        <w:kern w:val="0"/>
        <w:sz w:val="22"/>
        <w:vertAlign w:val="baseline"/>
        <w14:cntxtAlts w14:val="0"/>
      </w:rPr>
    </w:lvl>
    <w:lvl w:ilvl="1" w:tplc="0C090003" w:tentative="1">
      <w:start w:val="1"/>
      <w:numFmt w:val="bullet"/>
      <w:lvlText w:val="o"/>
      <w:lvlJc w:val="left"/>
      <w:pPr>
        <w:ind w:left="2016" w:hanging="360"/>
      </w:pPr>
      <w:rPr>
        <w:rFonts w:ascii="Courier New" w:hAnsi="Courier New" w:cs="Courier New" w:hint="default"/>
      </w:rPr>
    </w:lvl>
    <w:lvl w:ilvl="2" w:tplc="0C090005" w:tentative="1">
      <w:start w:val="1"/>
      <w:numFmt w:val="bullet"/>
      <w:lvlText w:val=""/>
      <w:lvlJc w:val="left"/>
      <w:pPr>
        <w:ind w:left="2736" w:hanging="360"/>
      </w:pPr>
      <w:rPr>
        <w:rFonts w:ascii="Wingdings" w:hAnsi="Wingdings" w:hint="default"/>
      </w:rPr>
    </w:lvl>
    <w:lvl w:ilvl="3" w:tplc="0C090001" w:tentative="1">
      <w:start w:val="1"/>
      <w:numFmt w:val="bullet"/>
      <w:lvlText w:val=""/>
      <w:lvlJc w:val="left"/>
      <w:pPr>
        <w:ind w:left="3456" w:hanging="360"/>
      </w:pPr>
      <w:rPr>
        <w:rFonts w:ascii="Symbol" w:hAnsi="Symbol" w:hint="default"/>
      </w:rPr>
    </w:lvl>
    <w:lvl w:ilvl="4" w:tplc="0C090003" w:tentative="1">
      <w:start w:val="1"/>
      <w:numFmt w:val="bullet"/>
      <w:lvlText w:val="o"/>
      <w:lvlJc w:val="left"/>
      <w:pPr>
        <w:ind w:left="4176" w:hanging="360"/>
      </w:pPr>
      <w:rPr>
        <w:rFonts w:ascii="Courier New" w:hAnsi="Courier New" w:cs="Courier New" w:hint="default"/>
      </w:rPr>
    </w:lvl>
    <w:lvl w:ilvl="5" w:tplc="0C090005" w:tentative="1">
      <w:start w:val="1"/>
      <w:numFmt w:val="bullet"/>
      <w:lvlText w:val=""/>
      <w:lvlJc w:val="left"/>
      <w:pPr>
        <w:ind w:left="4896" w:hanging="360"/>
      </w:pPr>
      <w:rPr>
        <w:rFonts w:ascii="Wingdings" w:hAnsi="Wingdings" w:hint="default"/>
      </w:rPr>
    </w:lvl>
    <w:lvl w:ilvl="6" w:tplc="0C090001" w:tentative="1">
      <w:start w:val="1"/>
      <w:numFmt w:val="bullet"/>
      <w:lvlText w:val=""/>
      <w:lvlJc w:val="left"/>
      <w:pPr>
        <w:ind w:left="5616" w:hanging="360"/>
      </w:pPr>
      <w:rPr>
        <w:rFonts w:ascii="Symbol" w:hAnsi="Symbol" w:hint="default"/>
      </w:rPr>
    </w:lvl>
    <w:lvl w:ilvl="7" w:tplc="0C090003" w:tentative="1">
      <w:start w:val="1"/>
      <w:numFmt w:val="bullet"/>
      <w:lvlText w:val="o"/>
      <w:lvlJc w:val="left"/>
      <w:pPr>
        <w:ind w:left="6336" w:hanging="360"/>
      </w:pPr>
      <w:rPr>
        <w:rFonts w:ascii="Courier New" w:hAnsi="Courier New" w:cs="Courier New" w:hint="default"/>
      </w:rPr>
    </w:lvl>
    <w:lvl w:ilvl="8" w:tplc="0C090005" w:tentative="1">
      <w:start w:val="1"/>
      <w:numFmt w:val="bullet"/>
      <w:lvlText w:val=""/>
      <w:lvlJc w:val="left"/>
      <w:pPr>
        <w:ind w:left="7056" w:hanging="360"/>
      </w:pPr>
      <w:rPr>
        <w:rFonts w:ascii="Wingdings" w:hAnsi="Wingdings" w:hint="default"/>
      </w:rPr>
    </w:lvl>
  </w:abstractNum>
  <w:abstractNum w:abstractNumId="10" w15:restartNumberingAfterBreak="0">
    <w:nsid w:val="236936A5"/>
    <w:multiLevelType w:val="hybridMultilevel"/>
    <w:tmpl w:val="51B4F36A"/>
    <w:lvl w:ilvl="0" w:tplc="A7587440">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61F44"/>
    <w:multiLevelType w:val="multilevel"/>
    <w:tmpl w:val="35FC5086"/>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3D52D1"/>
    <w:multiLevelType w:val="hybridMultilevel"/>
    <w:tmpl w:val="A27268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2E11FB8"/>
    <w:multiLevelType w:val="hybridMultilevel"/>
    <w:tmpl w:val="10807E64"/>
    <w:lvl w:ilvl="0" w:tplc="6A1888C4">
      <w:start w:val="1"/>
      <w:numFmt w:val="decimal"/>
      <w:pStyle w:val="Heading30"/>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025B42"/>
    <w:multiLevelType w:val="hybridMultilevel"/>
    <w:tmpl w:val="9334AE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71E7F05"/>
    <w:multiLevelType w:val="hybridMultilevel"/>
    <w:tmpl w:val="5A0030F2"/>
    <w:lvl w:ilvl="0" w:tplc="638430FC">
      <w:start w:val="1"/>
      <w:numFmt w:val="bullet"/>
      <w:pStyle w:val="BulletPointList"/>
      <w:lvlText w:val=""/>
      <w:lvlJc w:val="left"/>
      <w:pPr>
        <w:ind w:left="720" w:hanging="360"/>
      </w:pPr>
      <w:rPr>
        <w:rFonts w:ascii="Symbol" w:hAnsi="Symbol" w:hint="default"/>
        <w:caps w:val="0"/>
        <w:strike w:val="0"/>
        <w:dstrike w:val="0"/>
        <w:vanish w:val="0"/>
        <w:color w:val="auto"/>
        <w:kern w:val="0"/>
        <w:sz w:val="22"/>
        <w:vertAlign w:val="baseline"/>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23718"/>
    <w:multiLevelType w:val="hybridMultilevel"/>
    <w:tmpl w:val="47A2A7C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15:restartNumberingAfterBreak="0">
    <w:nsid w:val="515148F5"/>
    <w:multiLevelType w:val="hybridMultilevel"/>
    <w:tmpl w:val="65E44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53D4237"/>
    <w:multiLevelType w:val="hybridMultilevel"/>
    <w:tmpl w:val="97342F80"/>
    <w:lvl w:ilvl="0" w:tplc="B43E5C3A">
      <w:start w:val="1"/>
      <w:numFmt w:val="bullet"/>
      <w:lvlText w:val=""/>
      <w:lvlJc w:val="left"/>
      <w:pPr>
        <w:ind w:left="936" w:hanging="360"/>
      </w:pPr>
      <w:rPr>
        <w:rFonts w:ascii="Symbol" w:hAnsi="Symbol" w:hint="default"/>
        <w:caps w:val="0"/>
        <w:strike w:val="0"/>
        <w:dstrike w:val="0"/>
        <w:vanish w:val="0"/>
        <w:color w:val="808080" w:themeColor="background1" w:themeShade="80"/>
        <w:kern w:val="0"/>
        <w:sz w:val="22"/>
        <w:vertAlign w:val="baseline"/>
        <w14:cntxtAlts w14:val="0"/>
      </w:rPr>
    </w:lvl>
    <w:lvl w:ilvl="1" w:tplc="0C090003" w:tentative="1">
      <w:start w:val="1"/>
      <w:numFmt w:val="bullet"/>
      <w:lvlText w:val="o"/>
      <w:lvlJc w:val="left"/>
      <w:pPr>
        <w:ind w:left="1656" w:hanging="360"/>
      </w:pPr>
      <w:rPr>
        <w:rFonts w:ascii="Courier New" w:hAnsi="Courier New" w:cs="Courier New" w:hint="default"/>
      </w:rPr>
    </w:lvl>
    <w:lvl w:ilvl="2" w:tplc="0C090005" w:tentative="1">
      <w:start w:val="1"/>
      <w:numFmt w:val="bullet"/>
      <w:lvlText w:val=""/>
      <w:lvlJc w:val="left"/>
      <w:pPr>
        <w:ind w:left="2376" w:hanging="360"/>
      </w:pPr>
      <w:rPr>
        <w:rFonts w:ascii="Wingdings" w:hAnsi="Wingdings" w:hint="default"/>
      </w:rPr>
    </w:lvl>
    <w:lvl w:ilvl="3" w:tplc="0C090001" w:tentative="1">
      <w:start w:val="1"/>
      <w:numFmt w:val="bullet"/>
      <w:lvlText w:val=""/>
      <w:lvlJc w:val="left"/>
      <w:pPr>
        <w:ind w:left="3096" w:hanging="360"/>
      </w:pPr>
      <w:rPr>
        <w:rFonts w:ascii="Symbol" w:hAnsi="Symbol" w:hint="default"/>
      </w:rPr>
    </w:lvl>
    <w:lvl w:ilvl="4" w:tplc="0C090003" w:tentative="1">
      <w:start w:val="1"/>
      <w:numFmt w:val="bullet"/>
      <w:lvlText w:val="o"/>
      <w:lvlJc w:val="left"/>
      <w:pPr>
        <w:ind w:left="3816" w:hanging="360"/>
      </w:pPr>
      <w:rPr>
        <w:rFonts w:ascii="Courier New" w:hAnsi="Courier New" w:cs="Courier New" w:hint="default"/>
      </w:rPr>
    </w:lvl>
    <w:lvl w:ilvl="5" w:tplc="0C090005" w:tentative="1">
      <w:start w:val="1"/>
      <w:numFmt w:val="bullet"/>
      <w:lvlText w:val=""/>
      <w:lvlJc w:val="left"/>
      <w:pPr>
        <w:ind w:left="4536" w:hanging="360"/>
      </w:pPr>
      <w:rPr>
        <w:rFonts w:ascii="Wingdings" w:hAnsi="Wingdings" w:hint="default"/>
      </w:rPr>
    </w:lvl>
    <w:lvl w:ilvl="6" w:tplc="0C090001" w:tentative="1">
      <w:start w:val="1"/>
      <w:numFmt w:val="bullet"/>
      <w:lvlText w:val=""/>
      <w:lvlJc w:val="left"/>
      <w:pPr>
        <w:ind w:left="5256" w:hanging="360"/>
      </w:pPr>
      <w:rPr>
        <w:rFonts w:ascii="Symbol" w:hAnsi="Symbol" w:hint="default"/>
      </w:rPr>
    </w:lvl>
    <w:lvl w:ilvl="7" w:tplc="0C090003" w:tentative="1">
      <w:start w:val="1"/>
      <w:numFmt w:val="bullet"/>
      <w:lvlText w:val="o"/>
      <w:lvlJc w:val="left"/>
      <w:pPr>
        <w:ind w:left="5976" w:hanging="360"/>
      </w:pPr>
      <w:rPr>
        <w:rFonts w:ascii="Courier New" w:hAnsi="Courier New" w:cs="Courier New" w:hint="default"/>
      </w:rPr>
    </w:lvl>
    <w:lvl w:ilvl="8" w:tplc="0C090005" w:tentative="1">
      <w:start w:val="1"/>
      <w:numFmt w:val="bullet"/>
      <w:lvlText w:val=""/>
      <w:lvlJc w:val="left"/>
      <w:pPr>
        <w:ind w:left="6696" w:hanging="360"/>
      </w:pPr>
      <w:rPr>
        <w:rFonts w:ascii="Wingdings" w:hAnsi="Wingdings" w:hint="default"/>
      </w:rPr>
    </w:lvl>
  </w:abstractNum>
  <w:abstractNum w:abstractNumId="19" w15:restartNumberingAfterBreak="0">
    <w:nsid w:val="57F34046"/>
    <w:multiLevelType w:val="hybridMultilevel"/>
    <w:tmpl w:val="235AA1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B6A2DE0"/>
    <w:multiLevelType w:val="hybridMultilevel"/>
    <w:tmpl w:val="52724E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CA97CAC"/>
    <w:multiLevelType w:val="hybridMultilevel"/>
    <w:tmpl w:val="8778AB22"/>
    <w:lvl w:ilvl="0" w:tplc="BB0AE3D8">
      <w:start w:val="1"/>
      <w:numFmt w:val="decimal"/>
      <w:pStyle w:val="Heading1"/>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CF744A1"/>
    <w:multiLevelType w:val="hybridMultilevel"/>
    <w:tmpl w:val="C108DC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1774EF3"/>
    <w:multiLevelType w:val="hybridMultilevel"/>
    <w:tmpl w:val="EECEDC06"/>
    <w:lvl w:ilvl="0" w:tplc="4D1E0AC4">
      <w:start w:val="1"/>
      <w:numFmt w:val="bullet"/>
      <w:pStyle w:val="dotpoints"/>
      <w:lvlText w:val=""/>
      <w:lvlJc w:val="left"/>
      <w:pPr>
        <w:ind w:left="720" w:hanging="360"/>
      </w:pPr>
      <w:rPr>
        <w:rFonts w:ascii="Symbol" w:hAnsi="Symbol" w:hint="default"/>
        <w:color w:val="FF6C2C"/>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2837F1C"/>
    <w:multiLevelType w:val="hybridMultilevel"/>
    <w:tmpl w:val="68FAC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6F214B0"/>
    <w:multiLevelType w:val="hybridMultilevel"/>
    <w:tmpl w:val="B8FADF8A"/>
    <w:lvl w:ilvl="0" w:tplc="0C090001">
      <w:start w:val="1"/>
      <w:numFmt w:val="bullet"/>
      <w:lvlText w:val=""/>
      <w:lvlJc w:val="left"/>
      <w:pPr>
        <w:tabs>
          <w:tab w:val="num" w:pos="585"/>
        </w:tabs>
        <w:ind w:left="585" w:hanging="284"/>
      </w:pPr>
      <w:rPr>
        <w:rFonts w:ascii="Symbol" w:hAnsi="Symbol" w:hint="default"/>
        <w:sz w:val="24"/>
      </w:rPr>
    </w:lvl>
    <w:lvl w:ilvl="1" w:tplc="0C090003">
      <w:start w:val="1"/>
      <w:numFmt w:val="bullet"/>
      <w:lvlText w:val="o"/>
      <w:lvlJc w:val="left"/>
      <w:pPr>
        <w:ind w:left="1174" w:hanging="360"/>
      </w:pPr>
      <w:rPr>
        <w:rFonts w:ascii="Courier New" w:hAnsi="Courier New" w:cs="Courier New" w:hint="default"/>
      </w:rPr>
    </w:lvl>
    <w:lvl w:ilvl="2" w:tplc="0C090005">
      <w:start w:val="1"/>
      <w:numFmt w:val="bullet"/>
      <w:lvlText w:val=""/>
      <w:lvlJc w:val="left"/>
      <w:pPr>
        <w:ind w:left="1894" w:hanging="360"/>
      </w:pPr>
      <w:rPr>
        <w:rFonts w:ascii="Wingdings" w:hAnsi="Wingdings" w:hint="default"/>
      </w:rPr>
    </w:lvl>
    <w:lvl w:ilvl="3" w:tplc="0C090001" w:tentative="1">
      <w:start w:val="1"/>
      <w:numFmt w:val="bullet"/>
      <w:lvlText w:val=""/>
      <w:lvlJc w:val="left"/>
      <w:pPr>
        <w:ind w:left="2614" w:hanging="360"/>
      </w:pPr>
      <w:rPr>
        <w:rFonts w:ascii="Symbol" w:hAnsi="Symbol" w:hint="default"/>
      </w:rPr>
    </w:lvl>
    <w:lvl w:ilvl="4" w:tplc="0C090003" w:tentative="1">
      <w:start w:val="1"/>
      <w:numFmt w:val="bullet"/>
      <w:lvlText w:val="o"/>
      <w:lvlJc w:val="left"/>
      <w:pPr>
        <w:ind w:left="3334" w:hanging="360"/>
      </w:pPr>
      <w:rPr>
        <w:rFonts w:ascii="Courier New" w:hAnsi="Courier New" w:cs="Courier New" w:hint="default"/>
      </w:rPr>
    </w:lvl>
    <w:lvl w:ilvl="5" w:tplc="0C090005" w:tentative="1">
      <w:start w:val="1"/>
      <w:numFmt w:val="bullet"/>
      <w:lvlText w:val=""/>
      <w:lvlJc w:val="left"/>
      <w:pPr>
        <w:ind w:left="4054" w:hanging="360"/>
      </w:pPr>
      <w:rPr>
        <w:rFonts w:ascii="Wingdings" w:hAnsi="Wingdings" w:hint="default"/>
      </w:rPr>
    </w:lvl>
    <w:lvl w:ilvl="6" w:tplc="0C090001" w:tentative="1">
      <w:start w:val="1"/>
      <w:numFmt w:val="bullet"/>
      <w:lvlText w:val=""/>
      <w:lvlJc w:val="left"/>
      <w:pPr>
        <w:ind w:left="4774" w:hanging="360"/>
      </w:pPr>
      <w:rPr>
        <w:rFonts w:ascii="Symbol" w:hAnsi="Symbol" w:hint="default"/>
      </w:rPr>
    </w:lvl>
    <w:lvl w:ilvl="7" w:tplc="0C090003" w:tentative="1">
      <w:start w:val="1"/>
      <w:numFmt w:val="bullet"/>
      <w:lvlText w:val="o"/>
      <w:lvlJc w:val="left"/>
      <w:pPr>
        <w:ind w:left="5494" w:hanging="360"/>
      </w:pPr>
      <w:rPr>
        <w:rFonts w:ascii="Courier New" w:hAnsi="Courier New" w:cs="Courier New" w:hint="default"/>
      </w:rPr>
    </w:lvl>
    <w:lvl w:ilvl="8" w:tplc="0C090005" w:tentative="1">
      <w:start w:val="1"/>
      <w:numFmt w:val="bullet"/>
      <w:lvlText w:val=""/>
      <w:lvlJc w:val="left"/>
      <w:pPr>
        <w:ind w:left="6214" w:hanging="360"/>
      </w:pPr>
      <w:rPr>
        <w:rFonts w:ascii="Wingdings" w:hAnsi="Wingdings" w:hint="default"/>
      </w:rPr>
    </w:lvl>
  </w:abstractNum>
  <w:abstractNum w:abstractNumId="26" w15:restartNumberingAfterBreak="0">
    <w:nsid w:val="6BB84598"/>
    <w:multiLevelType w:val="hybridMultilevel"/>
    <w:tmpl w:val="4A6A2DFC"/>
    <w:lvl w:ilvl="0" w:tplc="0C09000F">
      <w:start w:val="1"/>
      <w:numFmt w:val="decimal"/>
      <w:lvlText w:val="%1."/>
      <w:lvlJc w:val="left"/>
      <w:pPr>
        <w:ind w:left="1069"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15:restartNumberingAfterBreak="0">
    <w:nsid w:val="70344A6E"/>
    <w:multiLevelType w:val="hybridMultilevel"/>
    <w:tmpl w:val="42FA0120"/>
    <w:lvl w:ilvl="0" w:tplc="0C090001">
      <w:start w:val="1"/>
      <w:numFmt w:val="bullet"/>
      <w:lvlText w:val=""/>
      <w:lvlJc w:val="left"/>
      <w:pPr>
        <w:ind w:left="742" w:hanging="360"/>
      </w:pPr>
      <w:rPr>
        <w:rFonts w:ascii="Symbol" w:hAnsi="Symbol" w:hint="default"/>
      </w:rPr>
    </w:lvl>
    <w:lvl w:ilvl="1" w:tplc="0C090003" w:tentative="1">
      <w:start w:val="1"/>
      <w:numFmt w:val="bullet"/>
      <w:lvlText w:val="o"/>
      <w:lvlJc w:val="left"/>
      <w:pPr>
        <w:ind w:left="1462" w:hanging="360"/>
      </w:pPr>
      <w:rPr>
        <w:rFonts w:ascii="Courier New" w:hAnsi="Courier New" w:cs="Courier New" w:hint="default"/>
      </w:rPr>
    </w:lvl>
    <w:lvl w:ilvl="2" w:tplc="0C090005" w:tentative="1">
      <w:start w:val="1"/>
      <w:numFmt w:val="bullet"/>
      <w:lvlText w:val=""/>
      <w:lvlJc w:val="left"/>
      <w:pPr>
        <w:ind w:left="2182" w:hanging="360"/>
      </w:pPr>
      <w:rPr>
        <w:rFonts w:ascii="Wingdings" w:hAnsi="Wingdings" w:hint="default"/>
      </w:rPr>
    </w:lvl>
    <w:lvl w:ilvl="3" w:tplc="0C090001" w:tentative="1">
      <w:start w:val="1"/>
      <w:numFmt w:val="bullet"/>
      <w:lvlText w:val=""/>
      <w:lvlJc w:val="left"/>
      <w:pPr>
        <w:ind w:left="2902" w:hanging="360"/>
      </w:pPr>
      <w:rPr>
        <w:rFonts w:ascii="Symbol" w:hAnsi="Symbol" w:hint="default"/>
      </w:rPr>
    </w:lvl>
    <w:lvl w:ilvl="4" w:tplc="0C090003" w:tentative="1">
      <w:start w:val="1"/>
      <w:numFmt w:val="bullet"/>
      <w:lvlText w:val="o"/>
      <w:lvlJc w:val="left"/>
      <w:pPr>
        <w:ind w:left="3622" w:hanging="360"/>
      </w:pPr>
      <w:rPr>
        <w:rFonts w:ascii="Courier New" w:hAnsi="Courier New" w:cs="Courier New" w:hint="default"/>
      </w:rPr>
    </w:lvl>
    <w:lvl w:ilvl="5" w:tplc="0C090005" w:tentative="1">
      <w:start w:val="1"/>
      <w:numFmt w:val="bullet"/>
      <w:lvlText w:val=""/>
      <w:lvlJc w:val="left"/>
      <w:pPr>
        <w:ind w:left="4342" w:hanging="360"/>
      </w:pPr>
      <w:rPr>
        <w:rFonts w:ascii="Wingdings" w:hAnsi="Wingdings" w:hint="default"/>
      </w:rPr>
    </w:lvl>
    <w:lvl w:ilvl="6" w:tplc="0C090001" w:tentative="1">
      <w:start w:val="1"/>
      <w:numFmt w:val="bullet"/>
      <w:lvlText w:val=""/>
      <w:lvlJc w:val="left"/>
      <w:pPr>
        <w:ind w:left="5062" w:hanging="360"/>
      </w:pPr>
      <w:rPr>
        <w:rFonts w:ascii="Symbol" w:hAnsi="Symbol" w:hint="default"/>
      </w:rPr>
    </w:lvl>
    <w:lvl w:ilvl="7" w:tplc="0C090003" w:tentative="1">
      <w:start w:val="1"/>
      <w:numFmt w:val="bullet"/>
      <w:lvlText w:val="o"/>
      <w:lvlJc w:val="left"/>
      <w:pPr>
        <w:ind w:left="5782" w:hanging="360"/>
      </w:pPr>
      <w:rPr>
        <w:rFonts w:ascii="Courier New" w:hAnsi="Courier New" w:cs="Courier New" w:hint="default"/>
      </w:rPr>
    </w:lvl>
    <w:lvl w:ilvl="8" w:tplc="0C090005" w:tentative="1">
      <w:start w:val="1"/>
      <w:numFmt w:val="bullet"/>
      <w:lvlText w:val=""/>
      <w:lvlJc w:val="left"/>
      <w:pPr>
        <w:ind w:left="6502" w:hanging="360"/>
      </w:pPr>
      <w:rPr>
        <w:rFonts w:ascii="Wingdings" w:hAnsi="Wingdings" w:hint="default"/>
      </w:rPr>
    </w:lvl>
  </w:abstractNum>
  <w:abstractNum w:abstractNumId="28" w15:restartNumberingAfterBreak="0">
    <w:nsid w:val="716D41B4"/>
    <w:multiLevelType w:val="hybridMultilevel"/>
    <w:tmpl w:val="5DFCE42A"/>
    <w:lvl w:ilvl="0" w:tplc="B7C8138A">
      <w:start w:val="1"/>
      <w:numFmt w:val="decimal"/>
      <w:pStyle w:val="Listnumbered"/>
      <w:lvlText w:val="%1"/>
      <w:lvlJc w:val="left"/>
      <w:pPr>
        <w:ind w:left="1296" w:hanging="360"/>
      </w:pPr>
      <w:rPr>
        <w:rFonts w:hint="default"/>
        <w:caps w:val="0"/>
        <w:strike w:val="0"/>
        <w:dstrike w:val="0"/>
        <w:vanish w:val="0"/>
        <w:color w:val="808080" w:themeColor="background1" w:themeShade="80"/>
        <w:kern w:val="0"/>
        <w:sz w:val="22"/>
        <w:vertAlign w:val="baseline"/>
        <w14:cntxtAlts w14:val="0"/>
      </w:rPr>
    </w:lvl>
    <w:lvl w:ilvl="1" w:tplc="0C090003" w:tentative="1">
      <w:start w:val="1"/>
      <w:numFmt w:val="bullet"/>
      <w:lvlText w:val="o"/>
      <w:lvlJc w:val="left"/>
      <w:pPr>
        <w:ind w:left="2016" w:hanging="360"/>
      </w:pPr>
      <w:rPr>
        <w:rFonts w:ascii="Courier New" w:hAnsi="Courier New" w:cs="Courier New" w:hint="default"/>
      </w:rPr>
    </w:lvl>
    <w:lvl w:ilvl="2" w:tplc="0C090005" w:tentative="1">
      <w:start w:val="1"/>
      <w:numFmt w:val="bullet"/>
      <w:lvlText w:val=""/>
      <w:lvlJc w:val="left"/>
      <w:pPr>
        <w:ind w:left="2736" w:hanging="360"/>
      </w:pPr>
      <w:rPr>
        <w:rFonts w:ascii="Wingdings" w:hAnsi="Wingdings" w:hint="default"/>
      </w:rPr>
    </w:lvl>
    <w:lvl w:ilvl="3" w:tplc="0C090001" w:tentative="1">
      <w:start w:val="1"/>
      <w:numFmt w:val="bullet"/>
      <w:lvlText w:val=""/>
      <w:lvlJc w:val="left"/>
      <w:pPr>
        <w:ind w:left="3456" w:hanging="360"/>
      </w:pPr>
      <w:rPr>
        <w:rFonts w:ascii="Symbol" w:hAnsi="Symbol" w:hint="default"/>
      </w:rPr>
    </w:lvl>
    <w:lvl w:ilvl="4" w:tplc="0C090003" w:tentative="1">
      <w:start w:val="1"/>
      <w:numFmt w:val="bullet"/>
      <w:lvlText w:val="o"/>
      <w:lvlJc w:val="left"/>
      <w:pPr>
        <w:ind w:left="4176" w:hanging="360"/>
      </w:pPr>
      <w:rPr>
        <w:rFonts w:ascii="Courier New" w:hAnsi="Courier New" w:cs="Courier New" w:hint="default"/>
      </w:rPr>
    </w:lvl>
    <w:lvl w:ilvl="5" w:tplc="0C090005" w:tentative="1">
      <w:start w:val="1"/>
      <w:numFmt w:val="bullet"/>
      <w:lvlText w:val=""/>
      <w:lvlJc w:val="left"/>
      <w:pPr>
        <w:ind w:left="4896" w:hanging="360"/>
      </w:pPr>
      <w:rPr>
        <w:rFonts w:ascii="Wingdings" w:hAnsi="Wingdings" w:hint="default"/>
      </w:rPr>
    </w:lvl>
    <w:lvl w:ilvl="6" w:tplc="0C090001" w:tentative="1">
      <w:start w:val="1"/>
      <w:numFmt w:val="bullet"/>
      <w:lvlText w:val=""/>
      <w:lvlJc w:val="left"/>
      <w:pPr>
        <w:ind w:left="5616" w:hanging="360"/>
      </w:pPr>
      <w:rPr>
        <w:rFonts w:ascii="Symbol" w:hAnsi="Symbol" w:hint="default"/>
      </w:rPr>
    </w:lvl>
    <w:lvl w:ilvl="7" w:tplc="0C090003" w:tentative="1">
      <w:start w:val="1"/>
      <w:numFmt w:val="bullet"/>
      <w:lvlText w:val="o"/>
      <w:lvlJc w:val="left"/>
      <w:pPr>
        <w:ind w:left="6336" w:hanging="360"/>
      </w:pPr>
      <w:rPr>
        <w:rFonts w:ascii="Courier New" w:hAnsi="Courier New" w:cs="Courier New" w:hint="default"/>
      </w:rPr>
    </w:lvl>
    <w:lvl w:ilvl="8" w:tplc="0C090005" w:tentative="1">
      <w:start w:val="1"/>
      <w:numFmt w:val="bullet"/>
      <w:lvlText w:val=""/>
      <w:lvlJc w:val="left"/>
      <w:pPr>
        <w:ind w:left="7056" w:hanging="360"/>
      </w:pPr>
      <w:rPr>
        <w:rFonts w:ascii="Wingdings" w:hAnsi="Wingdings" w:hint="default"/>
      </w:rPr>
    </w:lvl>
  </w:abstractNum>
  <w:abstractNum w:abstractNumId="29" w15:restartNumberingAfterBreak="0">
    <w:nsid w:val="78A2212E"/>
    <w:multiLevelType w:val="hybridMultilevel"/>
    <w:tmpl w:val="54A01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B8C0EB3"/>
    <w:multiLevelType w:val="hybridMultilevel"/>
    <w:tmpl w:val="368640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8"/>
  </w:num>
  <w:num w:numId="4">
    <w:abstractNumId w:val="20"/>
  </w:num>
  <w:num w:numId="5">
    <w:abstractNumId w:val="4"/>
  </w:num>
  <w:num w:numId="6">
    <w:abstractNumId w:val="15"/>
  </w:num>
  <w:num w:numId="7">
    <w:abstractNumId w:val="2"/>
  </w:num>
  <w:num w:numId="8">
    <w:abstractNumId w:val="13"/>
  </w:num>
  <w:num w:numId="9">
    <w:abstractNumId w:val="10"/>
  </w:num>
  <w:num w:numId="10">
    <w:abstractNumId w:val="0"/>
  </w:num>
  <w:num w:numId="11">
    <w:abstractNumId w:val="26"/>
  </w:num>
  <w:num w:numId="12">
    <w:abstractNumId w:val="29"/>
  </w:num>
  <w:num w:numId="13">
    <w:abstractNumId w:val="6"/>
  </w:num>
  <w:num w:numId="14">
    <w:abstractNumId w:val="16"/>
  </w:num>
  <w:num w:numId="15">
    <w:abstractNumId w:val="1"/>
  </w:num>
  <w:num w:numId="16">
    <w:abstractNumId w:val="17"/>
  </w:num>
  <w:num w:numId="17">
    <w:abstractNumId w:val="14"/>
  </w:num>
  <w:num w:numId="18">
    <w:abstractNumId w:val="12"/>
  </w:num>
  <w:num w:numId="19">
    <w:abstractNumId w:val="3"/>
  </w:num>
  <w:num w:numId="20">
    <w:abstractNumId w:val="30"/>
  </w:num>
  <w:num w:numId="21">
    <w:abstractNumId w:val="25"/>
  </w:num>
  <w:num w:numId="22">
    <w:abstractNumId w:val="27"/>
  </w:num>
  <w:num w:numId="23">
    <w:abstractNumId w:val="24"/>
  </w:num>
  <w:num w:numId="24">
    <w:abstractNumId w:val="19"/>
  </w:num>
  <w:num w:numId="25">
    <w:abstractNumId w:val="22"/>
  </w:num>
  <w:num w:numId="26">
    <w:abstractNumId w:val="21"/>
  </w:num>
  <w:num w:numId="27">
    <w:abstractNumId w:val="18"/>
  </w:num>
  <w:num w:numId="28">
    <w:abstractNumId w:val="7"/>
  </w:num>
  <w:num w:numId="29">
    <w:abstractNumId w:val="28"/>
  </w:num>
  <w:num w:numId="30">
    <w:abstractNumId w:val="28"/>
    <w:lvlOverride w:ilvl="0">
      <w:startOverride w:val="1"/>
    </w:lvlOverride>
  </w:num>
  <w:num w:numId="31">
    <w:abstractNumId w:val="9"/>
  </w:num>
  <w:num w:numId="3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8C"/>
    <w:rsid w:val="000027BE"/>
    <w:rsid w:val="0000324A"/>
    <w:rsid w:val="000032F6"/>
    <w:rsid w:val="000142A0"/>
    <w:rsid w:val="00015DE5"/>
    <w:rsid w:val="00016751"/>
    <w:rsid w:val="00021C0C"/>
    <w:rsid w:val="00021E93"/>
    <w:rsid w:val="0002457B"/>
    <w:rsid w:val="000307EA"/>
    <w:rsid w:val="00035099"/>
    <w:rsid w:val="00035C55"/>
    <w:rsid w:val="0003691C"/>
    <w:rsid w:val="0003693E"/>
    <w:rsid w:val="00044073"/>
    <w:rsid w:val="0005778B"/>
    <w:rsid w:val="00060E98"/>
    <w:rsid w:val="000631AD"/>
    <w:rsid w:val="000632D3"/>
    <w:rsid w:val="000634F0"/>
    <w:rsid w:val="0007290D"/>
    <w:rsid w:val="0007470C"/>
    <w:rsid w:val="0008218D"/>
    <w:rsid w:val="000906B2"/>
    <w:rsid w:val="0009209A"/>
    <w:rsid w:val="0009643E"/>
    <w:rsid w:val="00097803"/>
    <w:rsid w:val="000A3339"/>
    <w:rsid w:val="000A6F51"/>
    <w:rsid w:val="000A7070"/>
    <w:rsid w:val="000B15FF"/>
    <w:rsid w:val="000C103F"/>
    <w:rsid w:val="000C2F79"/>
    <w:rsid w:val="000C554D"/>
    <w:rsid w:val="000C7349"/>
    <w:rsid w:val="000D13B7"/>
    <w:rsid w:val="000D2086"/>
    <w:rsid w:val="000E4666"/>
    <w:rsid w:val="000E70F5"/>
    <w:rsid w:val="000F51EA"/>
    <w:rsid w:val="00106781"/>
    <w:rsid w:val="00106D99"/>
    <w:rsid w:val="00107054"/>
    <w:rsid w:val="00110194"/>
    <w:rsid w:val="00110ECC"/>
    <w:rsid w:val="001127EF"/>
    <w:rsid w:val="0012130E"/>
    <w:rsid w:val="00122121"/>
    <w:rsid w:val="00122ABF"/>
    <w:rsid w:val="00125E67"/>
    <w:rsid w:val="0012797A"/>
    <w:rsid w:val="00127A61"/>
    <w:rsid w:val="001309D6"/>
    <w:rsid w:val="00141E2C"/>
    <w:rsid w:val="001513F2"/>
    <w:rsid w:val="0016035E"/>
    <w:rsid w:val="001651B0"/>
    <w:rsid w:val="00165FC1"/>
    <w:rsid w:val="0017444D"/>
    <w:rsid w:val="001753E8"/>
    <w:rsid w:val="00180803"/>
    <w:rsid w:val="001847A7"/>
    <w:rsid w:val="00195DDA"/>
    <w:rsid w:val="001B1834"/>
    <w:rsid w:val="001B1F53"/>
    <w:rsid w:val="001C17F5"/>
    <w:rsid w:val="001D12D8"/>
    <w:rsid w:val="001E1046"/>
    <w:rsid w:val="001E4DC3"/>
    <w:rsid w:val="001E7E6D"/>
    <w:rsid w:val="001F2C19"/>
    <w:rsid w:val="001F4BF6"/>
    <w:rsid w:val="001F5074"/>
    <w:rsid w:val="00202CEA"/>
    <w:rsid w:val="00204392"/>
    <w:rsid w:val="0020481B"/>
    <w:rsid w:val="00204D01"/>
    <w:rsid w:val="00205D3F"/>
    <w:rsid w:val="00210446"/>
    <w:rsid w:val="00214F0B"/>
    <w:rsid w:val="00221EF4"/>
    <w:rsid w:val="00224C87"/>
    <w:rsid w:val="00227E9E"/>
    <w:rsid w:val="00231322"/>
    <w:rsid w:val="00231FC2"/>
    <w:rsid w:val="00235889"/>
    <w:rsid w:val="002361AF"/>
    <w:rsid w:val="002402C1"/>
    <w:rsid w:val="00241D6B"/>
    <w:rsid w:val="00245F38"/>
    <w:rsid w:val="00247C47"/>
    <w:rsid w:val="00251027"/>
    <w:rsid w:val="00253361"/>
    <w:rsid w:val="00260B3C"/>
    <w:rsid w:val="0026255D"/>
    <w:rsid w:val="00266E24"/>
    <w:rsid w:val="00270061"/>
    <w:rsid w:val="002706C9"/>
    <w:rsid w:val="002706FE"/>
    <w:rsid w:val="00270908"/>
    <w:rsid w:val="00275FE3"/>
    <w:rsid w:val="00276EA3"/>
    <w:rsid w:val="002804FC"/>
    <w:rsid w:val="00281215"/>
    <w:rsid w:val="00287B66"/>
    <w:rsid w:val="002A1E14"/>
    <w:rsid w:val="002B14D0"/>
    <w:rsid w:val="002B416E"/>
    <w:rsid w:val="002B5635"/>
    <w:rsid w:val="002C0382"/>
    <w:rsid w:val="002C3CEE"/>
    <w:rsid w:val="002C5A03"/>
    <w:rsid w:val="002D07BD"/>
    <w:rsid w:val="002D16C3"/>
    <w:rsid w:val="002D5F3F"/>
    <w:rsid w:val="002D663A"/>
    <w:rsid w:val="002E0A49"/>
    <w:rsid w:val="002E551B"/>
    <w:rsid w:val="002E5966"/>
    <w:rsid w:val="002E7421"/>
    <w:rsid w:val="002E74AD"/>
    <w:rsid w:val="002F2585"/>
    <w:rsid w:val="002F39EA"/>
    <w:rsid w:val="002F42FF"/>
    <w:rsid w:val="002F77AC"/>
    <w:rsid w:val="002F7B30"/>
    <w:rsid w:val="003027F1"/>
    <w:rsid w:val="003039C5"/>
    <w:rsid w:val="00306837"/>
    <w:rsid w:val="00312290"/>
    <w:rsid w:val="0032062D"/>
    <w:rsid w:val="00320DCF"/>
    <w:rsid w:val="00324D85"/>
    <w:rsid w:val="003307D7"/>
    <w:rsid w:val="00332B4C"/>
    <w:rsid w:val="003362F2"/>
    <w:rsid w:val="00336511"/>
    <w:rsid w:val="00341E0A"/>
    <w:rsid w:val="00342DD5"/>
    <w:rsid w:val="00343E2C"/>
    <w:rsid w:val="0034702D"/>
    <w:rsid w:val="00347647"/>
    <w:rsid w:val="00357BB7"/>
    <w:rsid w:val="00365185"/>
    <w:rsid w:val="0036551C"/>
    <w:rsid w:val="00366A35"/>
    <w:rsid w:val="003718B4"/>
    <w:rsid w:val="00375024"/>
    <w:rsid w:val="00376B9F"/>
    <w:rsid w:val="003869B5"/>
    <w:rsid w:val="00387768"/>
    <w:rsid w:val="00393F1E"/>
    <w:rsid w:val="003954AE"/>
    <w:rsid w:val="00396485"/>
    <w:rsid w:val="00396A3F"/>
    <w:rsid w:val="003A1C43"/>
    <w:rsid w:val="003A3129"/>
    <w:rsid w:val="003A43BB"/>
    <w:rsid w:val="003B48E6"/>
    <w:rsid w:val="003B58A3"/>
    <w:rsid w:val="003D4322"/>
    <w:rsid w:val="003D52F9"/>
    <w:rsid w:val="003D64FC"/>
    <w:rsid w:val="003F369A"/>
    <w:rsid w:val="003F3855"/>
    <w:rsid w:val="004063A7"/>
    <w:rsid w:val="00417412"/>
    <w:rsid w:val="00423289"/>
    <w:rsid w:val="00430B8B"/>
    <w:rsid w:val="00431E45"/>
    <w:rsid w:val="0043368C"/>
    <w:rsid w:val="004359E0"/>
    <w:rsid w:val="00442AD0"/>
    <w:rsid w:val="0044744B"/>
    <w:rsid w:val="00450409"/>
    <w:rsid w:val="00452A14"/>
    <w:rsid w:val="00452EDA"/>
    <w:rsid w:val="00454965"/>
    <w:rsid w:val="00456780"/>
    <w:rsid w:val="00467D0E"/>
    <w:rsid w:val="0047158B"/>
    <w:rsid w:val="004825BE"/>
    <w:rsid w:val="00486982"/>
    <w:rsid w:val="004874FC"/>
    <w:rsid w:val="00491B5E"/>
    <w:rsid w:val="0049721B"/>
    <w:rsid w:val="004A1DD6"/>
    <w:rsid w:val="004A23C6"/>
    <w:rsid w:val="004A359D"/>
    <w:rsid w:val="004B079D"/>
    <w:rsid w:val="004B37CA"/>
    <w:rsid w:val="004B6E64"/>
    <w:rsid w:val="004C1FD0"/>
    <w:rsid w:val="004C65C1"/>
    <w:rsid w:val="004C6EC6"/>
    <w:rsid w:val="004D49BF"/>
    <w:rsid w:val="004E3DB5"/>
    <w:rsid w:val="004E7D64"/>
    <w:rsid w:val="004F0068"/>
    <w:rsid w:val="004F2C67"/>
    <w:rsid w:val="004F2FAC"/>
    <w:rsid w:val="005005AC"/>
    <w:rsid w:val="0050174F"/>
    <w:rsid w:val="00503580"/>
    <w:rsid w:val="00503621"/>
    <w:rsid w:val="00510CBF"/>
    <w:rsid w:val="00513F37"/>
    <w:rsid w:val="005150CA"/>
    <w:rsid w:val="0051763D"/>
    <w:rsid w:val="005212FB"/>
    <w:rsid w:val="005242D6"/>
    <w:rsid w:val="00524BF6"/>
    <w:rsid w:val="0052665A"/>
    <w:rsid w:val="005419F6"/>
    <w:rsid w:val="00542912"/>
    <w:rsid w:val="00556026"/>
    <w:rsid w:val="005603AB"/>
    <w:rsid w:val="005634AA"/>
    <w:rsid w:val="0057168F"/>
    <w:rsid w:val="0057225C"/>
    <w:rsid w:val="00572CB8"/>
    <w:rsid w:val="00573FBB"/>
    <w:rsid w:val="00587F2A"/>
    <w:rsid w:val="00593D31"/>
    <w:rsid w:val="005A5BE9"/>
    <w:rsid w:val="005B2CA8"/>
    <w:rsid w:val="005C24FC"/>
    <w:rsid w:val="005C46D0"/>
    <w:rsid w:val="005D1098"/>
    <w:rsid w:val="005E08F2"/>
    <w:rsid w:val="005E1714"/>
    <w:rsid w:val="005E21D0"/>
    <w:rsid w:val="005E2CBA"/>
    <w:rsid w:val="005F481E"/>
    <w:rsid w:val="00606FBA"/>
    <w:rsid w:val="006135D0"/>
    <w:rsid w:val="006176B8"/>
    <w:rsid w:val="00621299"/>
    <w:rsid w:val="00621907"/>
    <w:rsid w:val="006433DF"/>
    <w:rsid w:val="006447C2"/>
    <w:rsid w:val="00653AD6"/>
    <w:rsid w:val="006558B4"/>
    <w:rsid w:val="006564E9"/>
    <w:rsid w:val="00660160"/>
    <w:rsid w:val="0066118B"/>
    <w:rsid w:val="00663BF6"/>
    <w:rsid w:val="00670D40"/>
    <w:rsid w:val="006713CC"/>
    <w:rsid w:val="00672A8D"/>
    <w:rsid w:val="006851AF"/>
    <w:rsid w:val="00690C83"/>
    <w:rsid w:val="006913E5"/>
    <w:rsid w:val="006939B6"/>
    <w:rsid w:val="006A0E5E"/>
    <w:rsid w:val="006A219F"/>
    <w:rsid w:val="006B0FE5"/>
    <w:rsid w:val="006B1CE8"/>
    <w:rsid w:val="006C70B8"/>
    <w:rsid w:val="006C7E2A"/>
    <w:rsid w:val="006D042C"/>
    <w:rsid w:val="006D6EF2"/>
    <w:rsid w:val="006E2639"/>
    <w:rsid w:val="006E531A"/>
    <w:rsid w:val="006F4EBE"/>
    <w:rsid w:val="006F529F"/>
    <w:rsid w:val="0070248F"/>
    <w:rsid w:val="00720C5D"/>
    <w:rsid w:val="0073024A"/>
    <w:rsid w:val="00730AAF"/>
    <w:rsid w:val="00731574"/>
    <w:rsid w:val="00732141"/>
    <w:rsid w:val="00735113"/>
    <w:rsid w:val="00743A93"/>
    <w:rsid w:val="007453A1"/>
    <w:rsid w:val="00750D94"/>
    <w:rsid w:val="00752EF1"/>
    <w:rsid w:val="00754CB3"/>
    <w:rsid w:val="00754F86"/>
    <w:rsid w:val="0076269F"/>
    <w:rsid w:val="00765765"/>
    <w:rsid w:val="0078007A"/>
    <w:rsid w:val="00781FA6"/>
    <w:rsid w:val="00782052"/>
    <w:rsid w:val="00791215"/>
    <w:rsid w:val="007923EF"/>
    <w:rsid w:val="007948FA"/>
    <w:rsid w:val="007A209D"/>
    <w:rsid w:val="007A34D8"/>
    <w:rsid w:val="007B0778"/>
    <w:rsid w:val="007B3C3E"/>
    <w:rsid w:val="007B58F2"/>
    <w:rsid w:val="007C1991"/>
    <w:rsid w:val="007C28A9"/>
    <w:rsid w:val="007D27F7"/>
    <w:rsid w:val="007D7ACF"/>
    <w:rsid w:val="007E34A9"/>
    <w:rsid w:val="007E65FA"/>
    <w:rsid w:val="007F29C9"/>
    <w:rsid w:val="007F3AAB"/>
    <w:rsid w:val="007F3B04"/>
    <w:rsid w:val="007F7612"/>
    <w:rsid w:val="0080324A"/>
    <w:rsid w:val="00803F1B"/>
    <w:rsid w:val="00817F4A"/>
    <w:rsid w:val="00820F38"/>
    <w:rsid w:val="00823F5C"/>
    <w:rsid w:val="0082475E"/>
    <w:rsid w:val="00826523"/>
    <w:rsid w:val="00826A84"/>
    <w:rsid w:val="00832D53"/>
    <w:rsid w:val="00834327"/>
    <w:rsid w:val="00837C83"/>
    <w:rsid w:val="00837D6B"/>
    <w:rsid w:val="00840113"/>
    <w:rsid w:val="0084164C"/>
    <w:rsid w:val="00843980"/>
    <w:rsid w:val="008466F4"/>
    <w:rsid w:val="008556C0"/>
    <w:rsid w:val="008608D7"/>
    <w:rsid w:val="00860F22"/>
    <w:rsid w:val="008771C7"/>
    <w:rsid w:val="00881F54"/>
    <w:rsid w:val="008821DF"/>
    <w:rsid w:val="008832B0"/>
    <w:rsid w:val="00883E66"/>
    <w:rsid w:val="00885BDE"/>
    <w:rsid w:val="00887AB0"/>
    <w:rsid w:val="0089140A"/>
    <w:rsid w:val="008B2E3F"/>
    <w:rsid w:val="008C141C"/>
    <w:rsid w:val="008C4799"/>
    <w:rsid w:val="008C62B2"/>
    <w:rsid w:val="008D4417"/>
    <w:rsid w:val="008D60C8"/>
    <w:rsid w:val="008D6282"/>
    <w:rsid w:val="008E31D2"/>
    <w:rsid w:val="008E59E7"/>
    <w:rsid w:val="008F049B"/>
    <w:rsid w:val="008F2EC7"/>
    <w:rsid w:val="008F40A6"/>
    <w:rsid w:val="008F5446"/>
    <w:rsid w:val="009045F6"/>
    <w:rsid w:val="00905294"/>
    <w:rsid w:val="0090649F"/>
    <w:rsid w:val="00906847"/>
    <w:rsid w:val="0090739F"/>
    <w:rsid w:val="00913D6A"/>
    <w:rsid w:val="00920F3B"/>
    <w:rsid w:val="00921AE6"/>
    <w:rsid w:val="00924500"/>
    <w:rsid w:val="00940444"/>
    <w:rsid w:val="00950B1E"/>
    <w:rsid w:val="009519CB"/>
    <w:rsid w:val="00957274"/>
    <w:rsid w:val="0096285E"/>
    <w:rsid w:val="00965950"/>
    <w:rsid w:val="00966B12"/>
    <w:rsid w:val="00975326"/>
    <w:rsid w:val="009779C9"/>
    <w:rsid w:val="00984B6D"/>
    <w:rsid w:val="009938FD"/>
    <w:rsid w:val="0099731A"/>
    <w:rsid w:val="009A35BF"/>
    <w:rsid w:val="009B38B9"/>
    <w:rsid w:val="009B5A1A"/>
    <w:rsid w:val="009C37FC"/>
    <w:rsid w:val="009D6D0C"/>
    <w:rsid w:val="009E4D1F"/>
    <w:rsid w:val="00A0068A"/>
    <w:rsid w:val="00A10202"/>
    <w:rsid w:val="00A1131C"/>
    <w:rsid w:val="00A127BB"/>
    <w:rsid w:val="00A152C7"/>
    <w:rsid w:val="00A1607C"/>
    <w:rsid w:val="00A2385B"/>
    <w:rsid w:val="00A24BA5"/>
    <w:rsid w:val="00A25396"/>
    <w:rsid w:val="00A44312"/>
    <w:rsid w:val="00A45C51"/>
    <w:rsid w:val="00A60CB9"/>
    <w:rsid w:val="00A60D01"/>
    <w:rsid w:val="00A65645"/>
    <w:rsid w:val="00A658A0"/>
    <w:rsid w:val="00A65C92"/>
    <w:rsid w:val="00A67D55"/>
    <w:rsid w:val="00A83CB9"/>
    <w:rsid w:val="00A84EA1"/>
    <w:rsid w:val="00A85439"/>
    <w:rsid w:val="00A87C56"/>
    <w:rsid w:val="00A90BE9"/>
    <w:rsid w:val="00A922E6"/>
    <w:rsid w:val="00AB3A8C"/>
    <w:rsid w:val="00AC1304"/>
    <w:rsid w:val="00AC1883"/>
    <w:rsid w:val="00AD2F59"/>
    <w:rsid w:val="00AD594A"/>
    <w:rsid w:val="00AE08A9"/>
    <w:rsid w:val="00AE7E62"/>
    <w:rsid w:val="00AF18C9"/>
    <w:rsid w:val="00AF1A4C"/>
    <w:rsid w:val="00AF4539"/>
    <w:rsid w:val="00AF4BC3"/>
    <w:rsid w:val="00AF6E8C"/>
    <w:rsid w:val="00AF7EC4"/>
    <w:rsid w:val="00B012FF"/>
    <w:rsid w:val="00B047A0"/>
    <w:rsid w:val="00B057EE"/>
    <w:rsid w:val="00B1379B"/>
    <w:rsid w:val="00B1748B"/>
    <w:rsid w:val="00B17562"/>
    <w:rsid w:val="00B2628D"/>
    <w:rsid w:val="00B2633A"/>
    <w:rsid w:val="00B3070F"/>
    <w:rsid w:val="00B36E53"/>
    <w:rsid w:val="00B4562E"/>
    <w:rsid w:val="00B60180"/>
    <w:rsid w:val="00B604D4"/>
    <w:rsid w:val="00B615FD"/>
    <w:rsid w:val="00B671B0"/>
    <w:rsid w:val="00B732BD"/>
    <w:rsid w:val="00B734C0"/>
    <w:rsid w:val="00B8180E"/>
    <w:rsid w:val="00B82610"/>
    <w:rsid w:val="00B8767C"/>
    <w:rsid w:val="00B91027"/>
    <w:rsid w:val="00B9786D"/>
    <w:rsid w:val="00BA05E4"/>
    <w:rsid w:val="00BA2A15"/>
    <w:rsid w:val="00BA2FF8"/>
    <w:rsid w:val="00BA74A1"/>
    <w:rsid w:val="00BB1C0B"/>
    <w:rsid w:val="00BB2113"/>
    <w:rsid w:val="00BC183E"/>
    <w:rsid w:val="00BC2A9B"/>
    <w:rsid w:val="00BC2E3B"/>
    <w:rsid w:val="00BC4C62"/>
    <w:rsid w:val="00BD0FEC"/>
    <w:rsid w:val="00BD12A6"/>
    <w:rsid w:val="00BD6387"/>
    <w:rsid w:val="00BE0BD4"/>
    <w:rsid w:val="00BE0F7E"/>
    <w:rsid w:val="00BE20B5"/>
    <w:rsid w:val="00BE50B9"/>
    <w:rsid w:val="00BE7134"/>
    <w:rsid w:val="00BE7686"/>
    <w:rsid w:val="00BF37FB"/>
    <w:rsid w:val="00C07828"/>
    <w:rsid w:val="00C10339"/>
    <w:rsid w:val="00C121B4"/>
    <w:rsid w:val="00C15B59"/>
    <w:rsid w:val="00C24B8A"/>
    <w:rsid w:val="00C262D6"/>
    <w:rsid w:val="00C27B20"/>
    <w:rsid w:val="00C30063"/>
    <w:rsid w:val="00C439F1"/>
    <w:rsid w:val="00C70FC2"/>
    <w:rsid w:val="00C82B0D"/>
    <w:rsid w:val="00C94B05"/>
    <w:rsid w:val="00C9561C"/>
    <w:rsid w:val="00C96F65"/>
    <w:rsid w:val="00C97CF3"/>
    <w:rsid w:val="00CA0E6D"/>
    <w:rsid w:val="00CA13AE"/>
    <w:rsid w:val="00CB690F"/>
    <w:rsid w:val="00CB6E97"/>
    <w:rsid w:val="00CC3C3D"/>
    <w:rsid w:val="00CE59BD"/>
    <w:rsid w:val="00CE6718"/>
    <w:rsid w:val="00CF0D41"/>
    <w:rsid w:val="00CF25E5"/>
    <w:rsid w:val="00CF665F"/>
    <w:rsid w:val="00CF7A9E"/>
    <w:rsid w:val="00D01B16"/>
    <w:rsid w:val="00D06EFC"/>
    <w:rsid w:val="00D107F2"/>
    <w:rsid w:val="00D127D2"/>
    <w:rsid w:val="00D224B2"/>
    <w:rsid w:val="00D260FD"/>
    <w:rsid w:val="00D2611C"/>
    <w:rsid w:val="00D31A4D"/>
    <w:rsid w:val="00D340EC"/>
    <w:rsid w:val="00D35663"/>
    <w:rsid w:val="00D443A0"/>
    <w:rsid w:val="00D509D1"/>
    <w:rsid w:val="00D5190C"/>
    <w:rsid w:val="00D51ABB"/>
    <w:rsid w:val="00D5740A"/>
    <w:rsid w:val="00D62D62"/>
    <w:rsid w:val="00D661FD"/>
    <w:rsid w:val="00D7301F"/>
    <w:rsid w:val="00D809B1"/>
    <w:rsid w:val="00D814A1"/>
    <w:rsid w:val="00D8528D"/>
    <w:rsid w:val="00D85CFE"/>
    <w:rsid w:val="00D90907"/>
    <w:rsid w:val="00D91D39"/>
    <w:rsid w:val="00D928B0"/>
    <w:rsid w:val="00D95173"/>
    <w:rsid w:val="00DA43FC"/>
    <w:rsid w:val="00DB6B22"/>
    <w:rsid w:val="00DB7EF5"/>
    <w:rsid w:val="00DC25F1"/>
    <w:rsid w:val="00DC2A21"/>
    <w:rsid w:val="00DC3F88"/>
    <w:rsid w:val="00DC5835"/>
    <w:rsid w:val="00DC6CF7"/>
    <w:rsid w:val="00DE0117"/>
    <w:rsid w:val="00DE6E5D"/>
    <w:rsid w:val="00DF634D"/>
    <w:rsid w:val="00E02B62"/>
    <w:rsid w:val="00E04725"/>
    <w:rsid w:val="00E12750"/>
    <w:rsid w:val="00E20DCD"/>
    <w:rsid w:val="00E21ABC"/>
    <w:rsid w:val="00E22E4E"/>
    <w:rsid w:val="00E30688"/>
    <w:rsid w:val="00E30C70"/>
    <w:rsid w:val="00E35FE5"/>
    <w:rsid w:val="00E36CC4"/>
    <w:rsid w:val="00E432C3"/>
    <w:rsid w:val="00E5176F"/>
    <w:rsid w:val="00E53992"/>
    <w:rsid w:val="00E62017"/>
    <w:rsid w:val="00E624D7"/>
    <w:rsid w:val="00E62DDC"/>
    <w:rsid w:val="00E63879"/>
    <w:rsid w:val="00E63904"/>
    <w:rsid w:val="00E67C41"/>
    <w:rsid w:val="00E71810"/>
    <w:rsid w:val="00E74780"/>
    <w:rsid w:val="00E82478"/>
    <w:rsid w:val="00E83AB1"/>
    <w:rsid w:val="00E87E6F"/>
    <w:rsid w:val="00E934E4"/>
    <w:rsid w:val="00E97D4A"/>
    <w:rsid w:val="00EA12AA"/>
    <w:rsid w:val="00EA3AD9"/>
    <w:rsid w:val="00EA40AD"/>
    <w:rsid w:val="00EA68B9"/>
    <w:rsid w:val="00EA7657"/>
    <w:rsid w:val="00EB2E52"/>
    <w:rsid w:val="00EB4BA5"/>
    <w:rsid w:val="00EC7390"/>
    <w:rsid w:val="00ED3176"/>
    <w:rsid w:val="00ED3C24"/>
    <w:rsid w:val="00EE59E6"/>
    <w:rsid w:val="00EE6478"/>
    <w:rsid w:val="00EF1E5F"/>
    <w:rsid w:val="00F06927"/>
    <w:rsid w:val="00F11643"/>
    <w:rsid w:val="00F226F7"/>
    <w:rsid w:val="00F31D94"/>
    <w:rsid w:val="00F32B74"/>
    <w:rsid w:val="00F4628F"/>
    <w:rsid w:val="00F469C4"/>
    <w:rsid w:val="00F55967"/>
    <w:rsid w:val="00F56ACB"/>
    <w:rsid w:val="00F57291"/>
    <w:rsid w:val="00F6415F"/>
    <w:rsid w:val="00F70541"/>
    <w:rsid w:val="00F836F9"/>
    <w:rsid w:val="00F83DCF"/>
    <w:rsid w:val="00F87F2B"/>
    <w:rsid w:val="00FA1CBE"/>
    <w:rsid w:val="00FA25BF"/>
    <w:rsid w:val="00FB11C2"/>
    <w:rsid w:val="00FB502A"/>
    <w:rsid w:val="00FB63B8"/>
    <w:rsid w:val="00FB7BA8"/>
    <w:rsid w:val="00FC3CA0"/>
    <w:rsid w:val="00FD08C7"/>
    <w:rsid w:val="00FD488C"/>
    <w:rsid w:val="00FD4E06"/>
    <w:rsid w:val="00FE072A"/>
    <w:rsid w:val="00FE33A5"/>
    <w:rsid w:val="00FE42B7"/>
    <w:rsid w:val="00FE53F6"/>
    <w:rsid w:val="00FF7D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9AEA48C-D0D1-49E9-B8E8-D153FC5EA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C83"/>
    <w:pPr>
      <w:spacing w:before="240" w:after="0" w:line="240" w:lineRule="auto"/>
      <w:ind w:left="426"/>
    </w:pPr>
    <w:rPr>
      <w:rFonts w:ascii="Arial" w:eastAsia="Times New Roman" w:hAnsi="Arial" w:cs="Times New Roman"/>
      <w:color w:val="808080" w:themeColor="background1" w:themeShade="80"/>
      <w:szCs w:val="24"/>
    </w:rPr>
  </w:style>
  <w:style w:type="paragraph" w:styleId="Heading1">
    <w:name w:val="heading 1"/>
    <w:basedOn w:val="Normal"/>
    <w:next w:val="Normal"/>
    <w:link w:val="Heading1Char"/>
    <w:autoRedefine/>
    <w:uiPriority w:val="9"/>
    <w:qFormat/>
    <w:rsid w:val="0002457B"/>
    <w:pPr>
      <w:keepNext/>
      <w:keepLines/>
      <w:numPr>
        <w:numId w:val="26"/>
      </w:numPr>
      <w:spacing w:before="360"/>
      <w:ind w:left="425" w:hanging="425"/>
      <w:outlineLvl w:val="0"/>
    </w:pPr>
    <w:rPr>
      <w:rFonts w:ascii="Arial Bold" w:eastAsiaTheme="majorEastAsia" w:hAnsi="Arial Bold" w:cstheme="majorBidi"/>
      <w:b/>
      <w:bCs/>
      <w:caps/>
      <w:sz w:val="24"/>
      <w:szCs w:val="28"/>
    </w:rPr>
  </w:style>
  <w:style w:type="paragraph" w:styleId="Heading20">
    <w:name w:val="heading 2"/>
    <w:basedOn w:val="Normal"/>
    <w:next w:val="Normal"/>
    <w:link w:val="Heading2Char"/>
    <w:uiPriority w:val="9"/>
    <w:unhideWhenUsed/>
    <w:qFormat/>
    <w:rsid w:val="008E59E7"/>
    <w:pPr>
      <w:keepNext/>
      <w:keepLines/>
      <w:spacing w:before="100" w:beforeAutospacing="1" w:after="100" w:afterAutospacing="1"/>
      <w:outlineLvl w:val="1"/>
    </w:pPr>
    <w:rPr>
      <w:rFonts w:eastAsiaTheme="majorEastAsia" w:cstheme="majorBidi"/>
      <w:b/>
      <w:bCs/>
      <w:color w:val="000000" w:themeColor="text1"/>
      <w:sz w:val="28"/>
      <w:szCs w:val="26"/>
      <w14:textFill>
        <w14:solidFill>
          <w14:schemeClr w14:val="tx1">
            <w14:lumMod w14:val="65000"/>
            <w14:lumOff w14:val="35000"/>
            <w14:lumMod w14:val="50000"/>
          </w14:schemeClr>
        </w14:solidFill>
      </w14:textFill>
    </w:rPr>
  </w:style>
  <w:style w:type="paragraph" w:styleId="Heading30">
    <w:name w:val="heading 3"/>
    <w:basedOn w:val="Normal"/>
    <w:next w:val="Normal"/>
    <w:link w:val="Heading3Char"/>
    <w:uiPriority w:val="9"/>
    <w:unhideWhenUsed/>
    <w:rsid w:val="00975326"/>
    <w:pPr>
      <w:keepNext/>
      <w:keepLines/>
      <w:numPr>
        <w:numId w:val="8"/>
      </w:numPr>
      <w:spacing w:after="120"/>
      <w:ind w:left="709" w:hanging="709"/>
      <w:outlineLvl w:val="2"/>
    </w:pPr>
    <w:rPr>
      <w:rFonts w:ascii="Arial Bold" w:eastAsiaTheme="majorEastAsia" w:hAnsi="Arial Bold" w:cstheme="majorBidi"/>
      <w:b/>
      <w:bCs/>
      <w:color w:val="000000" w:themeColor="text1"/>
      <w:sz w:val="24"/>
      <w14:textFill>
        <w14:solidFill>
          <w14:schemeClr w14:val="tx1">
            <w14:lumMod w14:val="65000"/>
            <w14:lumOff w14:val="35000"/>
            <w14:lumMod w14:val="50000"/>
          </w14:schemeClr>
        </w14:solidFill>
      </w14:textFill>
    </w:rPr>
  </w:style>
  <w:style w:type="paragraph" w:styleId="Heading4">
    <w:name w:val="heading 4"/>
    <w:basedOn w:val="Normal"/>
    <w:next w:val="Normal"/>
    <w:link w:val="Heading4Char"/>
    <w:uiPriority w:val="9"/>
    <w:unhideWhenUsed/>
    <w:rsid w:val="00913D6A"/>
    <w:pPr>
      <w:keepNext/>
      <w:keepLines/>
      <w:numPr>
        <w:numId w:val="7"/>
      </w:numPr>
      <w:ind w:left="1066" w:hanging="357"/>
      <w:outlineLvl w:val="3"/>
    </w:pPr>
    <w:rPr>
      <w:rFonts w:eastAsiaTheme="majorEastAsia" w:cstheme="majorBidi"/>
      <w:bCs/>
      <w:iCs/>
    </w:rPr>
  </w:style>
  <w:style w:type="paragraph" w:styleId="Heading5">
    <w:name w:val="heading 5"/>
    <w:basedOn w:val="Normal"/>
    <w:next w:val="Normal"/>
    <w:link w:val="Heading5Char"/>
    <w:uiPriority w:val="9"/>
    <w:semiHidden/>
    <w:unhideWhenUsed/>
    <w:rsid w:val="007F7612"/>
    <w:pPr>
      <w:keepNext/>
      <w:keepLines/>
      <w:numPr>
        <w:ilvl w:val="4"/>
        <w:numId w:val="2"/>
      </w:numPr>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uiPriority w:val="9"/>
    <w:semiHidden/>
    <w:unhideWhenUsed/>
    <w:qFormat/>
    <w:rsid w:val="002E7421"/>
    <w:pPr>
      <w:keepNext/>
      <w:keepLines/>
      <w:numPr>
        <w:ilvl w:val="5"/>
        <w:numId w:val="2"/>
      </w:numPr>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uiPriority w:val="9"/>
    <w:semiHidden/>
    <w:unhideWhenUsed/>
    <w:qFormat/>
    <w:rsid w:val="007F7612"/>
    <w:pPr>
      <w:keepNext/>
      <w:keepLines/>
      <w:numPr>
        <w:ilvl w:val="6"/>
        <w:numId w:val="2"/>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F7612"/>
    <w:pPr>
      <w:keepNext/>
      <w:keepLines/>
      <w:numPr>
        <w:ilvl w:val="7"/>
        <w:numId w:val="2"/>
      </w:numPr>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F7612"/>
    <w:pPr>
      <w:keepNext/>
      <w:keepLines/>
      <w:numPr>
        <w:ilvl w:val="8"/>
        <w:numId w:val="2"/>
      </w:numPr>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A1DD6"/>
    <w:pPr>
      <w:tabs>
        <w:tab w:val="center" w:pos="4153"/>
        <w:tab w:val="right" w:pos="8306"/>
      </w:tabs>
    </w:pPr>
    <w:rPr>
      <w:sz w:val="18"/>
    </w:rPr>
  </w:style>
  <w:style w:type="character" w:customStyle="1" w:styleId="HeaderChar">
    <w:name w:val="Header Char"/>
    <w:basedOn w:val="DefaultParagraphFont"/>
    <w:link w:val="Header"/>
    <w:uiPriority w:val="99"/>
    <w:rsid w:val="004A1DD6"/>
    <w:rPr>
      <w:rFonts w:ascii="Arial" w:eastAsia="Times New Roman" w:hAnsi="Arial" w:cs="Times New Roman"/>
      <w:sz w:val="18"/>
      <w:szCs w:val="24"/>
    </w:rPr>
  </w:style>
  <w:style w:type="paragraph" w:styleId="Footer">
    <w:name w:val="footer"/>
    <w:basedOn w:val="Normal"/>
    <w:link w:val="FooterChar"/>
    <w:uiPriority w:val="99"/>
    <w:rsid w:val="004A1DD6"/>
    <w:pPr>
      <w:tabs>
        <w:tab w:val="center" w:pos="4153"/>
        <w:tab w:val="right" w:pos="8306"/>
      </w:tabs>
    </w:pPr>
    <w:rPr>
      <w:sz w:val="14"/>
    </w:rPr>
  </w:style>
  <w:style w:type="character" w:customStyle="1" w:styleId="FooterChar">
    <w:name w:val="Footer Char"/>
    <w:basedOn w:val="DefaultParagraphFont"/>
    <w:link w:val="Footer"/>
    <w:uiPriority w:val="99"/>
    <w:rsid w:val="004A1DD6"/>
    <w:rPr>
      <w:rFonts w:ascii="Arial" w:eastAsia="Times New Roman" w:hAnsi="Arial" w:cs="Times New Roman"/>
      <w:sz w:val="14"/>
      <w:szCs w:val="24"/>
    </w:rPr>
  </w:style>
  <w:style w:type="paragraph" w:customStyle="1" w:styleId="NormalNoSpacing">
    <w:name w:val="Normal No Spacing"/>
    <w:basedOn w:val="Normal"/>
    <w:link w:val="NormalNoSpacingChar"/>
    <w:rsid w:val="004A1DD6"/>
  </w:style>
  <w:style w:type="character" w:styleId="Hyperlink">
    <w:name w:val="Hyperlink"/>
    <w:uiPriority w:val="99"/>
    <w:rsid w:val="004A1DD6"/>
    <w:rPr>
      <w:strike w:val="0"/>
      <w:dstrike w:val="0"/>
      <w:color w:val="3366CC"/>
      <w:u w:val="none"/>
      <w:effect w:val="none"/>
    </w:rPr>
  </w:style>
  <w:style w:type="character" w:customStyle="1" w:styleId="NormalNoSpacingChar">
    <w:name w:val="Normal No Spacing Char"/>
    <w:basedOn w:val="DefaultParagraphFont"/>
    <w:link w:val="NormalNoSpacing"/>
    <w:rsid w:val="004A1DD6"/>
    <w:rPr>
      <w:rFonts w:ascii="Arial" w:eastAsia="Times New Roman" w:hAnsi="Arial" w:cs="Times New Roman"/>
      <w:szCs w:val="24"/>
    </w:rPr>
  </w:style>
  <w:style w:type="character" w:styleId="IntenseEmphasis">
    <w:name w:val="Intense Emphasis"/>
    <w:basedOn w:val="DefaultParagraphFont"/>
    <w:uiPriority w:val="21"/>
    <w:rsid w:val="004A1DD6"/>
    <w:rPr>
      <w:b/>
      <w:bCs/>
      <w:i/>
      <w:iCs/>
      <w:color w:val="4F81BD" w:themeColor="accent1"/>
    </w:rPr>
  </w:style>
  <w:style w:type="paragraph" w:customStyle="1" w:styleId="DocumentTitle">
    <w:name w:val="Document Title"/>
    <w:basedOn w:val="Heading1"/>
    <w:link w:val="DocumentTitleChar"/>
    <w:autoRedefine/>
    <w:rsid w:val="004A1DD6"/>
    <w:pPr>
      <w:keepLines w:val="0"/>
      <w:pBdr>
        <w:bottom w:val="single" w:sz="24" w:space="17" w:color="D9D9D9"/>
      </w:pBdr>
      <w:tabs>
        <w:tab w:val="left" w:pos="431"/>
        <w:tab w:val="left" w:pos="780"/>
      </w:tabs>
      <w:spacing w:before="0" w:after="360"/>
      <w:ind w:left="-426"/>
    </w:pPr>
    <w:rPr>
      <w:rFonts w:eastAsia="Times New Roman" w:cs="Arial"/>
      <w:bCs w:val="0"/>
      <w:i/>
      <w:kern w:val="28"/>
      <w:sz w:val="52"/>
      <w:szCs w:val="52"/>
    </w:rPr>
  </w:style>
  <w:style w:type="paragraph" w:customStyle="1" w:styleId="Heading3">
    <w:name w:val="Heading3"/>
    <w:basedOn w:val="Heading30"/>
    <w:link w:val="Heading3Char0"/>
    <w:autoRedefine/>
    <w:rsid w:val="0049721B"/>
    <w:pPr>
      <w:numPr>
        <w:ilvl w:val="2"/>
        <w:numId w:val="5"/>
      </w:numPr>
      <w:spacing w:before="180" w:after="300"/>
    </w:pPr>
    <w:rPr>
      <w:rFonts w:eastAsia="Times New Roman" w:cs="Times New Roman"/>
      <w:szCs w:val="32"/>
    </w:rPr>
  </w:style>
  <w:style w:type="character" w:customStyle="1" w:styleId="DocumentTitleChar">
    <w:name w:val="Document Title Char"/>
    <w:basedOn w:val="DefaultParagraphFont"/>
    <w:link w:val="DocumentTitle"/>
    <w:rsid w:val="004A1DD6"/>
    <w:rPr>
      <w:rFonts w:ascii="Arial Bold" w:eastAsia="Times New Roman" w:hAnsi="Arial Bold" w:cs="Arial"/>
      <w:b/>
      <w:i/>
      <w:color w:val="FF6C2C"/>
      <w:kern w:val="28"/>
      <w:sz w:val="52"/>
      <w:szCs w:val="52"/>
    </w:rPr>
  </w:style>
  <w:style w:type="paragraph" w:customStyle="1" w:styleId="BodyText1">
    <w:name w:val="Body Text1"/>
    <w:basedOn w:val="BodyText"/>
    <w:link w:val="BodytextChar"/>
    <w:autoRedefine/>
    <w:rsid w:val="004A1DD6"/>
    <w:pPr>
      <w:spacing w:line="264" w:lineRule="auto"/>
    </w:pPr>
    <w:rPr>
      <w:bCs/>
      <w:szCs w:val="20"/>
    </w:rPr>
  </w:style>
  <w:style w:type="character" w:customStyle="1" w:styleId="Heading3Char0">
    <w:name w:val="Heading3 Char"/>
    <w:basedOn w:val="NormalNoSpacingChar"/>
    <w:link w:val="Heading3"/>
    <w:rsid w:val="0049721B"/>
    <w:rPr>
      <w:rFonts w:ascii="Arial Bold" w:eastAsia="Times New Roman" w:hAnsi="Arial Bold" w:cs="Times New Roman"/>
      <w:b/>
      <w:bCs/>
      <w:color w:val="595959" w:themeColor="text1" w:themeTint="A6"/>
      <w:sz w:val="24"/>
      <w:szCs w:val="32"/>
    </w:rPr>
  </w:style>
  <w:style w:type="character" w:customStyle="1" w:styleId="BodytextChar">
    <w:name w:val="Body text Char"/>
    <w:basedOn w:val="NormalNoSpacingChar"/>
    <w:link w:val="BodyText1"/>
    <w:rsid w:val="004A1DD6"/>
    <w:rPr>
      <w:rFonts w:ascii="Arial" w:eastAsia="Times New Roman" w:hAnsi="Arial" w:cs="Times New Roman"/>
      <w:bCs/>
      <w:color w:val="404040" w:themeColor="text1" w:themeTint="BF"/>
      <w:szCs w:val="20"/>
    </w:rPr>
  </w:style>
  <w:style w:type="character" w:customStyle="1" w:styleId="Heading2Char0">
    <w:name w:val="Heading2 Char"/>
    <w:basedOn w:val="DefaultParagraphFont"/>
    <w:link w:val="Heading2"/>
    <w:locked/>
    <w:rsid w:val="00D35663"/>
    <w:rPr>
      <w:rFonts w:ascii="Arial Bold" w:hAnsi="Arial Bold" w:cs="Arial"/>
      <w:b/>
      <w:color w:val="595959" w:themeColor="text1" w:themeTint="A6"/>
      <w:sz w:val="28"/>
      <w:szCs w:val="36"/>
    </w:rPr>
  </w:style>
  <w:style w:type="paragraph" w:customStyle="1" w:styleId="Heading2">
    <w:name w:val="Heading2"/>
    <w:basedOn w:val="Heading20"/>
    <w:link w:val="Heading2Char0"/>
    <w:rsid w:val="00D35663"/>
    <w:pPr>
      <w:numPr>
        <w:numId w:val="9"/>
      </w:numPr>
      <w:spacing w:before="180" w:after="300"/>
      <w:ind w:left="709" w:hanging="709"/>
    </w:pPr>
    <w:rPr>
      <w:rFonts w:ascii="Arial Bold" w:eastAsiaTheme="minorHAnsi" w:hAnsi="Arial Bold" w:cs="Arial"/>
      <w:bCs w:val="0"/>
      <w:szCs w:val="36"/>
    </w:rPr>
  </w:style>
  <w:style w:type="character" w:customStyle="1" w:styleId="Heading1Char">
    <w:name w:val="Heading 1 Char"/>
    <w:basedOn w:val="DefaultParagraphFont"/>
    <w:link w:val="Heading1"/>
    <w:uiPriority w:val="9"/>
    <w:rsid w:val="0002457B"/>
    <w:rPr>
      <w:rFonts w:ascii="Arial Bold" w:eastAsiaTheme="majorEastAsia" w:hAnsi="Arial Bold" w:cstheme="majorBidi"/>
      <w:b/>
      <w:bCs/>
      <w:caps/>
      <w:color w:val="808080" w:themeColor="background1" w:themeShade="80"/>
      <w:sz w:val="24"/>
      <w:szCs w:val="28"/>
    </w:rPr>
  </w:style>
  <w:style w:type="character" w:customStyle="1" w:styleId="Heading3Char">
    <w:name w:val="Heading 3 Char"/>
    <w:basedOn w:val="DefaultParagraphFont"/>
    <w:link w:val="Heading30"/>
    <w:uiPriority w:val="9"/>
    <w:rsid w:val="00975326"/>
    <w:rPr>
      <w:rFonts w:ascii="Arial Bold" w:eastAsiaTheme="majorEastAsia" w:hAnsi="Arial Bold" w:cstheme="majorBidi"/>
      <w:b/>
      <w:bCs/>
      <w:color w:val="595959" w:themeColor="text1" w:themeTint="A6"/>
      <w:sz w:val="24"/>
      <w:szCs w:val="24"/>
    </w:rPr>
  </w:style>
  <w:style w:type="paragraph" w:styleId="BodyText">
    <w:name w:val="Body Text"/>
    <w:basedOn w:val="Normal"/>
    <w:link w:val="BodyTextChar0"/>
    <w:uiPriority w:val="99"/>
    <w:semiHidden/>
    <w:unhideWhenUsed/>
    <w:rsid w:val="004A1DD6"/>
    <w:pPr>
      <w:spacing w:after="120"/>
    </w:pPr>
  </w:style>
  <w:style w:type="character" w:customStyle="1" w:styleId="BodyTextChar0">
    <w:name w:val="Body Text Char"/>
    <w:basedOn w:val="DefaultParagraphFont"/>
    <w:link w:val="BodyText"/>
    <w:uiPriority w:val="99"/>
    <w:semiHidden/>
    <w:rsid w:val="004A1DD6"/>
    <w:rPr>
      <w:rFonts w:ascii="Arial" w:eastAsia="Times New Roman" w:hAnsi="Arial" w:cs="Times New Roman"/>
      <w:szCs w:val="24"/>
    </w:rPr>
  </w:style>
  <w:style w:type="character" w:customStyle="1" w:styleId="Heading2Char">
    <w:name w:val="Heading 2 Char"/>
    <w:basedOn w:val="DefaultParagraphFont"/>
    <w:link w:val="Heading20"/>
    <w:uiPriority w:val="9"/>
    <w:rsid w:val="008E59E7"/>
    <w:rPr>
      <w:rFonts w:ascii="Arial" w:eastAsiaTheme="majorEastAsia" w:hAnsi="Arial" w:cstheme="majorBidi"/>
      <w:b/>
      <w:bCs/>
      <w:color w:val="595959" w:themeColor="text1" w:themeTint="A6"/>
      <w:sz w:val="28"/>
      <w:szCs w:val="26"/>
    </w:rPr>
  </w:style>
  <w:style w:type="paragraph" w:styleId="BalloonText">
    <w:name w:val="Balloon Text"/>
    <w:basedOn w:val="Normal"/>
    <w:link w:val="BalloonTextChar"/>
    <w:uiPriority w:val="99"/>
    <w:semiHidden/>
    <w:unhideWhenUsed/>
    <w:rsid w:val="004A1DD6"/>
    <w:rPr>
      <w:rFonts w:ascii="Tahoma" w:hAnsi="Tahoma" w:cs="Tahoma"/>
      <w:sz w:val="16"/>
      <w:szCs w:val="16"/>
    </w:rPr>
  </w:style>
  <w:style w:type="character" w:customStyle="1" w:styleId="BalloonTextChar">
    <w:name w:val="Balloon Text Char"/>
    <w:basedOn w:val="DefaultParagraphFont"/>
    <w:link w:val="BalloonText"/>
    <w:uiPriority w:val="99"/>
    <w:semiHidden/>
    <w:rsid w:val="004A1DD6"/>
    <w:rPr>
      <w:rFonts w:ascii="Tahoma" w:eastAsia="Times New Roman" w:hAnsi="Tahoma" w:cs="Tahoma"/>
      <w:sz w:val="16"/>
      <w:szCs w:val="16"/>
    </w:rPr>
  </w:style>
  <w:style w:type="paragraph" w:styleId="Title">
    <w:name w:val="Title"/>
    <w:basedOn w:val="Normal"/>
    <w:next w:val="Normal"/>
    <w:link w:val="TitleChar"/>
    <w:autoRedefine/>
    <w:uiPriority w:val="10"/>
    <w:qFormat/>
    <w:rsid w:val="00843980"/>
    <w:pPr>
      <w:spacing w:before="100" w:beforeAutospacing="1" w:after="100" w:afterAutospacing="1"/>
      <w:ind w:left="0"/>
      <w:jc w:val="center"/>
    </w:pPr>
    <w:rPr>
      <w:rFonts w:ascii="Arial Bold" w:eastAsiaTheme="majorEastAsia" w:hAnsi="Arial Bold" w:cstheme="majorBidi"/>
      <w:b/>
      <w:caps/>
      <w:noProof/>
      <w:kern w:val="28"/>
      <w:sz w:val="40"/>
      <w:szCs w:val="40"/>
      <w:u w:color="D9D9D9" w:themeColor="background1" w:themeShade="D9"/>
      <w:lang w:eastAsia="en-AU"/>
    </w:rPr>
  </w:style>
  <w:style w:type="character" w:customStyle="1" w:styleId="TitleChar">
    <w:name w:val="Title Char"/>
    <w:basedOn w:val="DefaultParagraphFont"/>
    <w:link w:val="Title"/>
    <w:uiPriority w:val="10"/>
    <w:rsid w:val="00843980"/>
    <w:rPr>
      <w:rFonts w:ascii="Arial Bold" w:eastAsiaTheme="majorEastAsia" w:hAnsi="Arial Bold" w:cstheme="majorBidi"/>
      <w:b/>
      <w:caps/>
      <w:noProof/>
      <w:color w:val="808080" w:themeColor="background1" w:themeShade="80"/>
      <w:kern w:val="28"/>
      <w:sz w:val="40"/>
      <w:szCs w:val="40"/>
      <w:u w:color="D9D9D9" w:themeColor="background1" w:themeShade="D9"/>
      <w:lang w:eastAsia="en-AU"/>
    </w:rPr>
  </w:style>
  <w:style w:type="character" w:styleId="SubtleEmphasis">
    <w:name w:val="Subtle Emphasis"/>
    <w:basedOn w:val="DefaultParagraphFont"/>
    <w:uiPriority w:val="19"/>
    <w:rsid w:val="006C7E2A"/>
    <w:rPr>
      <w:i/>
      <w:iCs/>
      <w:color w:val="595959" w:themeColor="text1" w:themeTint="A6"/>
    </w:rPr>
  </w:style>
  <w:style w:type="paragraph" w:styleId="ListParagraph">
    <w:name w:val="List Paragraph"/>
    <w:basedOn w:val="Normal"/>
    <w:link w:val="ListParagraphChar"/>
    <w:uiPriority w:val="34"/>
    <w:qFormat/>
    <w:rsid w:val="00924500"/>
    <w:pPr>
      <w:numPr>
        <w:numId w:val="28"/>
      </w:numPr>
      <w:spacing w:before="120" w:after="120"/>
      <w:ind w:left="709" w:hanging="284"/>
      <w:contextualSpacing/>
    </w:pPr>
  </w:style>
  <w:style w:type="paragraph" w:customStyle="1" w:styleId="dotpoints">
    <w:name w:val="dot points"/>
    <w:basedOn w:val="NormalNoSpacing"/>
    <w:link w:val="dotpointsChar"/>
    <w:rsid w:val="00A10202"/>
    <w:pPr>
      <w:numPr>
        <w:numId w:val="1"/>
      </w:numPr>
      <w:spacing w:after="240"/>
    </w:pPr>
  </w:style>
  <w:style w:type="character" w:customStyle="1" w:styleId="bodytextChar1">
    <w:name w:val="body text Char"/>
    <w:basedOn w:val="DefaultParagraphFont"/>
    <w:rsid w:val="00A10202"/>
    <w:rPr>
      <w:rFonts w:ascii="Arial" w:hAnsi="Arial"/>
      <w:color w:val="404040" w:themeColor="text1" w:themeTint="BF"/>
      <w:szCs w:val="24"/>
      <w:lang w:eastAsia="en-US"/>
    </w:rPr>
  </w:style>
  <w:style w:type="character" w:customStyle="1" w:styleId="dotpointsChar">
    <w:name w:val="dot points Char"/>
    <w:basedOn w:val="NormalNoSpacingChar"/>
    <w:link w:val="dotpoints"/>
    <w:rsid w:val="00A10202"/>
    <w:rPr>
      <w:rFonts w:ascii="Arial" w:eastAsia="Times New Roman" w:hAnsi="Arial" w:cs="Times New Roman"/>
      <w:szCs w:val="24"/>
    </w:rPr>
  </w:style>
  <w:style w:type="paragraph" w:customStyle="1" w:styleId="Tablefootnote">
    <w:name w:val="Table footnote"/>
    <w:basedOn w:val="Normal"/>
    <w:rsid w:val="002C3CEE"/>
    <w:pPr>
      <w:tabs>
        <w:tab w:val="left" w:pos="425"/>
      </w:tabs>
      <w:spacing w:before="60"/>
    </w:pPr>
    <w:rPr>
      <w:sz w:val="16"/>
      <w:szCs w:val="20"/>
    </w:rPr>
  </w:style>
  <w:style w:type="paragraph" w:styleId="EnvelopeReturn">
    <w:name w:val="envelope return"/>
    <w:basedOn w:val="Normal"/>
    <w:semiHidden/>
    <w:rsid w:val="002E7421"/>
    <w:rPr>
      <w:rFonts w:cs="Arial"/>
      <w:sz w:val="20"/>
      <w:szCs w:val="20"/>
    </w:rPr>
  </w:style>
  <w:style w:type="paragraph" w:customStyle="1" w:styleId="Title1">
    <w:name w:val="Title1"/>
    <w:basedOn w:val="Heading6"/>
    <w:link w:val="Title1Char"/>
    <w:rsid w:val="002E7421"/>
    <w:pPr>
      <w:keepLines w:val="0"/>
      <w:spacing w:before="0" w:after="240"/>
    </w:pPr>
    <w:rPr>
      <w:rFonts w:ascii="Arial" w:eastAsia="Times New Roman" w:hAnsi="Arial" w:cs="Times New Roman"/>
      <w:b/>
      <w:bCs/>
      <w:i w:val="0"/>
      <w:iCs w:val="0"/>
      <w:caps/>
      <w:color w:val="000000"/>
      <w:sz w:val="56"/>
      <w14:textFill>
        <w14:solidFill>
          <w14:srgbClr w14:val="000000">
            <w14:lumMod w14:val="50000"/>
          </w14:srgbClr>
        </w14:solidFill>
      </w14:textFill>
    </w:rPr>
  </w:style>
  <w:style w:type="paragraph" w:customStyle="1" w:styleId="DocControl2">
    <w:name w:val="Doc Control 2"/>
    <w:rsid w:val="002E7421"/>
    <w:pPr>
      <w:spacing w:before="120" w:after="240" w:line="240" w:lineRule="auto"/>
    </w:pPr>
    <w:rPr>
      <w:rFonts w:ascii="Arial Bold" w:eastAsia="Times New Roman" w:hAnsi="Arial Bold" w:cs="Arial"/>
      <w:b/>
      <w:caps/>
      <w:sz w:val="20"/>
      <w:szCs w:val="20"/>
    </w:rPr>
  </w:style>
  <w:style w:type="paragraph" w:customStyle="1" w:styleId="TableText">
    <w:name w:val="Table Text"/>
    <w:basedOn w:val="Normal"/>
    <w:link w:val="TableTextChar"/>
    <w:rsid w:val="002E7421"/>
    <w:pPr>
      <w:keepLines/>
    </w:pPr>
    <w:rPr>
      <w:sz w:val="20"/>
      <w:szCs w:val="20"/>
    </w:rPr>
  </w:style>
  <w:style w:type="paragraph" w:customStyle="1" w:styleId="TableHeading">
    <w:name w:val="Table Heading"/>
    <w:basedOn w:val="TableText"/>
    <w:link w:val="TableHeadingChar"/>
    <w:rsid w:val="002E7421"/>
    <w:pPr>
      <w:spacing w:after="120"/>
    </w:pPr>
    <w:rPr>
      <w:b/>
    </w:rPr>
  </w:style>
  <w:style w:type="paragraph" w:styleId="EndnoteText">
    <w:name w:val="endnote text"/>
    <w:basedOn w:val="Normal"/>
    <w:link w:val="EndnoteTextChar"/>
    <w:uiPriority w:val="99"/>
    <w:semiHidden/>
    <w:rsid w:val="002E7421"/>
    <w:pPr>
      <w:keepLines/>
      <w:jc w:val="both"/>
    </w:pPr>
    <w:rPr>
      <w:sz w:val="20"/>
      <w:szCs w:val="20"/>
    </w:rPr>
  </w:style>
  <w:style w:type="character" w:customStyle="1" w:styleId="EndnoteTextChar">
    <w:name w:val="Endnote Text Char"/>
    <w:basedOn w:val="DefaultParagraphFont"/>
    <w:link w:val="EndnoteText"/>
    <w:uiPriority w:val="99"/>
    <w:semiHidden/>
    <w:rsid w:val="002E7421"/>
    <w:rPr>
      <w:rFonts w:ascii="Arial" w:eastAsia="Times New Roman" w:hAnsi="Arial" w:cs="Times New Roman"/>
      <w:sz w:val="20"/>
      <w:szCs w:val="20"/>
    </w:rPr>
  </w:style>
  <w:style w:type="character" w:customStyle="1" w:styleId="Title1Char">
    <w:name w:val="Title1 Char"/>
    <w:basedOn w:val="DefaultParagraphFont"/>
    <w:link w:val="Title1"/>
    <w:rsid w:val="002E7421"/>
    <w:rPr>
      <w:rFonts w:ascii="Arial" w:eastAsia="Times New Roman" w:hAnsi="Arial" w:cs="Times New Roman"/>
      <w:b/>
      <w:bCs/>
      <w:caps/>
      <w:sz w:val="56"/>
      <w:szCs w:val="24"/>
    </w:rPr>
  </w:style>
  <w:style w:type="paragraph" w:customStyle="1" w:styleId="Daydateandyear">
    <w:name w:val="Day date and year"/>
    <w:basedOn w:val="Normal"/>
    <w:link w:val="DaydateandyearChar"/>
    <w:rsid w:val="002E7421"/>
    <w:rPr>
      <w:b/>
      <w:bCs/>
      <w:sz w:val="28"/>
    </w:rPr>
  </w:style>
  <w:style w:type="character" w:customStyle="1" w:styleId="DaydateandyearChar">
    <w:name w:val="Day date and year Char"/>
    <w:basedOn w:val="DefaultParagraphFont"/>
    <w:link w:val="Daydateandyear"/>
    <w:rsid w:val="002E7421"/>
    <w:rPr>
      <w:rFonts w:ascii="Arial" w:eastAsia="Times New Roman" w:hAnsi="Arial" w:cs="Times New Roman"/>
      <w:b/>
      <w:bCs/>
      <w:color w:val="404040" w:themeColor="text1" w:themeTint="BF"/>
      <w:sz w:val="28"/>
      <w:szCs w:val="24"/>
    </w:rPr>
  </w:style>
  <w:style w:type="paragraph" w:customStyle="1" w:styleId="documenttext">
    <w:name w:val="document text"/>
    <w:basedOn w:val="Heading20"/>
    <w:link w:val="documenttextChar"/>
    <w:rsid w:val="002E7421"/>
    <w:pPr>
      <w:spacing w:before="180" w:after="300"/>
    </w:pPr>
    <w:rPr>
      <w:rFonts w:eastAsia="Times New Roman" w:cs="Times New Roman"/>
      <w:b w:val="0"/>
      <w:bCs w:val="0"/>
      <w:iCs/>
      <w:sz w:val="20"/>
      <w:szCs w:val="23"/>
      <w14:textFill>
        <w14:solidFill>
          <w14:schemeClr w14:val="tx1">
            <w14:lumMod w14:val="75000"/>
            <w14:lumOff w14:val="25000"/>
            <w14:lumMod w14:val="50000"/>
          </w14:schemeClr>
        </w14:solidFill>
      </w14:textFill>
    </w:rPr>
  </w:style>
  <w:style w:type="paragraph" w:customStyle="1" w:styleId="bodycopy">
    <w:name w:val="body copy"/>
    <w:basedOn w:val="TableHeading"/>
    <w:link w:val="bodycopyChar"/>
    <w:rsid w:val="002E7421"/>
    <w:pPr>
      <w:jc w:val="both"/>
    </w:pPr>
    <w:rPr>
      <w:rFonts w:cs="Arial"/>
    </w:rPr>
  </w:style>
  <w:style w:type="character" w:customStyle="1" w:styleId="documenttextChar">
    <w:name w:val="document text Char"/>
    <w:basedOn w:val="DefaultParagraphFont"/>
    <w:link w:val="documenttext"/>
    <w:rsid w:val="002E7421"/>
    <w:rPr>
      <w:rFonts w:ascii="Arial" w:eastAsia="Times New Roman" w:hAnsi="Arial" w:cs="Times New Roman"/>
      <w:iCs/>
      <w:color w:val="404040" w:themeColor="text1" w:themeTint="BF"/>
      <w:sz w:val="20"/>
      <w:szCs w:val="23"/>
    </w:rPr>
  </w:style>
  <w:style w:type="character" w:customStyle="1" w:styleId="TableTextChar">
    <w:name w:val="Table Text Char"/>
    <w:basedOn w:val="DefaultParagraphFont"/>
    <w:link w:val="TableText"/>
    <w:rsid w:val="002E7421"/>
    <w:rPr>
      <w:rFonts w:ascii="Arial" w:eastAsia="Times New Roman" w:hAnsi="Arial" w:cs="Times New Roman"/>
      <w:sz w:val="20"/>
      <w:szCs w:val="20"/>
    </w:rPr>
  </w:style>
  <w:style w:type="character" w:customStyle="1" w:styleId="TableHeadingChar">
    <w:name w:val="Table Heading Char"/>
    <w:basedOn w:val="TableTextChar"/>
    <w:link w:val="TableHeading"/>
    <w:rsid w:val="002E7421"/>
    <w:rPr>
      <w:rFonts w:ascii="Arial" w:eastAsia="Times New Roman" w:hAnsi="Arial" w:cs="Times New Roman"/>
      <w:b/>
      <w:sz w:val="20"/>
      <w:szCs w:val="20"/>
    </w:rPr>
  </w:style>
  <w:style w:type="character" w:customStyle="1" w:styleId="bodycopyChar">
    <w:name w:val="body copy Char"/>
    <w:basedOn w:val="TableHeadingChar"/>
    <w:link w:val="bodycopy"/>
    <w:rsid w:val="002E7421"/>
    <w:rPr>
      <w:rFonts w:ascii="Arial" w:eastAsia="Times New Roman" w:hAnsi="Arial" w:cs="Arial"/>
      <w:b/>
      <w:color w:val="404040" w:themeColor="text1" w:themeTint="BF"/>
      <w:sz w:val="20"/>
      <w:szCs w:val="20"/>
    </w:rPr>
  </w:style>
  <w:style w:type="paragraph" w:styleId="NoSpacing">
    <w:name w:val="No Spacing"/>
    <w:uiPriority w:val="1"/>
    <w:rsid w:val="002E7421"/>
    <w:pPr>
      <w:spacing w:after="0" w:line="240" w:lineRule="auto"/>
    </w:pPr>
    <w:rPr>
      <w:rFonts w:ascii="Arial" w:eastAsia="Times New Roman" w:hAnsi="Arial" w:cs="Times New Roman"/>
      <w:szCs w:val="24"/>
    </w:rPr>
  </w:style>
  <w:style w:type="paragraph" w:customStyle="1" w:styleId="TOCheading2">
    <w:name w:val="TOC heading 2"/>
    <w:basedOn w:val="TOC2"/>
    <w:link w:val="TOCheading2Char"/>
    <w:rsid w:val="002E7421"/>
    <w:rPr>
      <w:rFonts w:ascii="Arial Bold" w:hAnsi="Arial Bold"/>
      <w:b/>
      <w:color w:val="000000" w:themeColor="text1"/>
      <w:sz w:val="24"/>
      <w14:textFill>
        <w14:solidFill>
          <w14:schemeClr w14:val="tx1">
            <w14:lumMod w14:val="65000"/>
            <w14:lumOff w14:val="35000"/>
            <w14:lumMod w14:val="50000"/>
          </w14:schemeClr>
        </w14:solidFill>
      </w14:textFill>
    </w:rPr>
  </w:style>
  <w:style w:type="paragraph" w:customStyle="1" w:styleId="TOCheading3">
    <w:name w:val="TOC heading 3"/>
    <w:basedOn w:val="TOC3"/>
    <w:link w:val="TOCheading3Char"/>
    <w:rsid w:val="002E7421"/>
    <w:pPr>
      <w:ind w:left="426"/>
    </w:pPr>
    <w:rPr>
      <w:rFonts w:ascii="Arial Bold" w:hAnsi="Arial Bold"/>
      <w:b/>
      <w:color w:val="000000" w:themeColor="text1"/>
      <w14:textFill>
        <w14:solidFill>
          <w14:schemeClr w14:val="tx1">
            <w14:lumMod w14:val="65000"/>
            <w14:lumOff w14:val="35000"/>
            <w14:lumMod w14:val="50000"/>
          </w14:schemeClr>
        </w14:solidFill>
      </w14:textFill>
    </w:rPr>
  </w:style>
  <w:style w:type="character" w:customStyle="1" w:styleId="TOCheading2Char">
    <w:name w:val="TOC heading 2 Char"/>
    <w:basedOn w:val="DefaultParagraphFont"/>
    <w:link w:val="TOCheading2"/>
    <w:rsid w:val="002E7421"/>
    <w:rPr>
      <w:rFonts w:ascii="Arial Bold" w:eastAsia="Times New Roman" w:hAnsi="Arial Bold" w:cs="Times New Roman"/>
      <w:b/>
      <w:color w:val="595959" w:themeColor="text1" w:themeTint="A6"/>
      <w:sz w:val="24"/>
      <w:szCs w:val="24"/>
    </w:rPr>
  </w:style>
  <w:style w:type="character" w:customStyle="1" w:styleId="TOCheading3Char">
    <w:name w:val="TOC heading 3 Char"/>
    <w:basedOn w:val="DefaultParagraphFont"/>
    <w:link w:val="TOCheading3"/>
    <w:rsid w:val="002E7421"/>
    <w:rPr>
      <w:rFonts w:ascii="Arial Bold" w:eastAsia="Times New Roman" w:hAnsi="Arial Bold" w:cs="Times New Roman"/>
      <w:b/>
      <w:color w:val="595959" w:themeColor="text1" w:themeTint="A6"/>
      <w:szCs w:val="24"/>
    </w:rPr>
  </w:style>
  <w:style w:type="character" w:customStyle="1" w:styleId="Heading6Char">
    <w:name w:val="Heading 6 Char"/>
    <w:basedOn w:val="DefaultParagraphFont"/>
    <w:link w:val="Heading6"/>
    <w:uiPriority w:val="9"/>
    <w:semiHidden/>
    <w:rsid w:val="002E7421"/>
    <w:rPr>
      <w:rFonts w:asciiTheme="majorHAnsi" w:eastAsiaTheme="majorEastAsia" w:hAnsiTheme="majorHAnsi" w:cstheme="majorBidi"/>
      <w:i/>
      <w:iCs/>
      <w:color w:val="243F60" w:themeColor="accent1" w:themeShade="7F"/>
      <w:szCs w:val="24"/>
    </w:rPr>
  </w:style>
  <w:style w:type="paragraph" w:styleId="TOC2">
    <w:name w:val="toc 2"/>
    <w:basedOn w:val="Normal"/>
    <w:next w:val="Normal"/>
    <w:autoRedefine/>
    <w:uiPriority w:val="39"/>
    <w:unhideWhenUsed/>
    <w:rsid w:val="00D35663"/>
    <w:pPr>
      <w:tabs>
        <w:tab w:val="left" w:pos="880"/>
        <w:tab w:val="right" w:leader="dot" w:pos="9072"/>
      </w:tabs>
      <w:spacing w:after="120"/>
      <w:ind w:left="567" w:hanging="567"/>
    </w:pPr>
  </w:style>
  <w:style w:type="paragraph" w:styleId="TOC3">
    <w:name w:val="toc 3"/>
    <w:basedOn w:val="Normal"/>
    <w:next w:val="Normal"/>
    <w:autoRedefine/>
    <w:uiPriority w:val="39"/>
    <w:unhideWhenUsed/>
    <w:rsid w:val="00235889"/>
    <w:pPr>
      <w:tabs>
        <w:tab w:val="right" w:leader="dot" w:pos="9072"/>
      </w:tabs>
      <w:spacing w:after="120"/>
      <w:ind w:left="1276" w:hanging="709"/>
    </w:pPr>
  </w:style>
  <w:style w:type="character" w:customStyle="1" w:styleId="Heading4Char">
    <w:name w:val="Heading 4 Char"/>
    <w:basedOn w:val="DefaultParagraphFont"/>
    <w:link w:val="Heading4"/>
    <w:uiPriority w:val="9"/>
    <w:rsid w:val="00913D6A"/>
    <w:rPr>
      <w:rFonts w:ascii="Arial" w:eastAsiaTheme="majorEastAsia" w:hAnsi="Arial" w:cstheme="majorBidi"/>
      <w:bCs/>
      <w:iCs/>
      <w:szCs w:val="24"/>
    </w:rPr>
  </w:style>
  <w:style w:type="character" w:customStyle="1" w:styleId="Heading5Char">
    <w:name w:val="Heading 5 Char"/>
    <w:basedOn w:val="DefaultParagraphFont"/>
    <w:link w:val="Heading5"/>
    <w:uiPriority w:val="9"/>
    <w:semiHidden/>
    <w:rsid w:val="007F7612"/>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7F7612"/>
    <w:rPr>
      <w:rFonts w:asciiTheme="majorHAnsi" w:eastAsiaTheme="majorEastAsia" w:hAnsiTheme="majorHAnsi" w:cstheme="majorBidi"/>
      <w:i/>
      <w:iCs/>
      <w:szCs w:val="24"/>
    </w:rPr>
  </w:style>
  <w:style w:type="character" w:customStyle="1" w:styleId="Heading8Char">
    <w:name w:val="Heading 8 Char"/>
    <w:basedOn w:val="DefaultParagraphFont"/>
    <w:link w:val="Heading8"/>
    <w:uiPriority w:val="9"/>
    <w:semiHidden/>
    <w:rsid w:val="007F761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F7612"/>
    <w:rPr>
      <w:rFonts w:asciiTheme="majorHAnsi" w:eastAsiaTheme="majorEastAsia" w:hAnsiTheme="majorHAnsi" w:cstheme="majorBidi"/>
      <w:i/>
      <w:iCs/>
      <w:sz w:val="20"/>
      <w:szCs w:val="20"/>
    </w:rPr>
  </w:style>
  <w:style w:type="paragraph" w:customStyle="1" w:styleId="TableHeader">
    <w:name w:val="Table Header"/>
    <w:autoRedefine/>
    <w:rsid w:val="006558B4"/>
    <w:pPr>
      <w:spacing w:before="120" w:after="120" w:line="240" w:lineRule="auto"/>
    </w:pPr>
    <w:rPr>
      <w:rFonts w:ascii="Arial" w:eastAsia="Times New Roman" w:hAnsi="Arial" w:cs="Times New Roman"/>
      <w:b/>
      <w:bCs/>
      <w:noProof/>
      <w:color w:val="595959" w:themeColor="text1" w:themeTint="A6"/>
    </w:rPr>
  </w:style>
  <w:style w:type="paragraph" w:styleId="TOCHeading">
    <w:name w:val="TOC Heading"/>
    <w:basedOn w:val="Heading1"/>
    <w:next w:val="Normal"/>
    <w:uiPriority w:val="39"/>
    <w:semiHidden/>
    <w:unhideWhenUsed/>
    <w:qFormat/>
    <w:rsid w:val="00D107F2"/>
    <w:pPr>
      <w:spacing w:line="276" w:lineRule="auto"/>
      <w:outlineLvl w:val="9"/>
    </w:pPr>
    <w:rPr>
      <w:rFonts w:asciiTheme="majorHAnsi" w:hAnsiTheme="majorHAnsi"/>
      <w:color w:val="244061" w:themeColor="accent1" w:themeShade="80"/>
      <w:lang w:val="en-US" w:eastAsia="ja-JP"/>
    </w:rPr>
  </w:style>
  <w:style w:type="paragraph" w:styleId="TOC1">
    <w:name w:val="toc 1"/>
    <w:basedOn w:val="Normal"/>
    <w:next w:val="Normal"/>
    <w:autoRedefine/>
    <w:uiPriority w:val="39"/>
    <w:unhideWhenUsed/>
    <w:rsid w:val="008D60C8"/>
    <w:pPr>
      <w:tabs>
        <w:tab w:val="left" w:pos="567"/>
        <w:tab w:val="right" w:leader="dot" w:pos="9072"/>
      </w:tabs>
      <w:spacing w:before="0" w:after="120"/>
    </w:pPr>
    <w:rPr>
      <w:rFonts w:ascii="Arial Bold" w:hAnsi="Arial Bold"/>
      <w:b/>
      <w:caps/>
    </w:rPr>
  </w:style>
  <w:style w:type="table" w:styleId="TableGrid">
    <w:name w:val="Table Grid"/>
    <w:basedOn w:val="TableNormal"/>
    <w:uiPriority w:val="59"/>
    <w:rsid w:val="00471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7158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BulletPointList">
    <w:name w:val="Bullet Point List"/>
    <w:basedOn w:val="Normal"/>
    <w:rsid w:val="0073024A"/>
    <w:pPr>
      <w:numPr>
        <w:numId w:val="6"/>
      </w:numPr>
      <w:spacing w:before="0" w:after="120"/>
      <w:ind w:left="2126" w:hanging="425"/>
    </w:pPr>
  </w:style>
  <w:style w:type="paragraph" w:customStyle="1" w:styleId="TOCHeading1">
    <w:name w:val="TOC Heading 1"/>
    <w:basedOn w:val="Normal"/>
    <w:rsid w:val="006558B4"/>
    <w:pPr>
      <w:spacing w:before="480" w:after="360"/>
    </w:pPr>
    <w:rPr>
      <w:rFonts w:ascii="Arial Bold" w:hAnsi="Arial Bold"/>
      <w:b/>
      <w:caps/>
      <w:color w:val="000000" w:themeColor="text1"/>
      <w:sz w:val="28"/>
      <w14:textFill>
        <w14:solidFill>
          <w14:schemeClr w14:val="tx1">
            <w14:lumMod w14:val="50000"/>
            <w14:lumOff w14:val="50000"/>
            <w14:lumMod w14:val="50000"/>
          </w14:schemeClr>
        </w14:solidFill>
      </w14:textFill>
    </w:rPr>
  </w:style>
  <w:style w:type="paragraph" w:customStyle="1" w:styleId="InroParagraph">
    <w:name w:val="Inro Paragraph"/>
    <w:basedOn w:val="Normal"/>
    <w:link w:val="InroParagraphChar"/>
    <w:rsid w:val="0005778B"/>
    <w:pPr>
      <w:spacing w:before="100" w:beforeAutospacing="1" w:afterAutospacing="1" w:line="288" w:lineRule="auto"/>
    </w:pPr>
    <w:rPr>
      <w:color w:val="000000" w:themeColor="text1"/>
      <w:sz w:val="24"/>
      <w14:textFill>
        <w14:solidFill>
          <w14:schemeClr w14:val="tx1">
            <w14:lumMod w14:val="50000"/>
            <w14:lumOff w14:val="50000"/>
            <w14:lumMod w14:val="50000"/>
          </w14:schemeClr>
        </w14:solidFill>
      </w14:textFill>
    </w:rPr>
  </w:style>
  <w:style w:type="character" w:customStyle="1" w:styleId="InroParagraphChar">
    <w:name w:val="Inro Paragraph Char"/>
    <w:basedOn w:val="DefaultParagraphFont"/>
    <w:link w:val="InroParagraph"/>
    <w:rsid w:val="0005778B"/>
    <w:rPr>
      <w:rFonts w:ascii="Arial" w:eastAsia="Times New Roman" w:hAnsi="Arial" w:cs="Times New Roman"/>
      <w:color w:val="7F7F7F" w:themeColor="text1" w:themeTint="80"/>
      <w:sz w:val="24"/>
      <w:szCs w:val="24"/>
    </w:rPr>
  </w:style>
  <w:style w:type="paragraph" w:customStyle="1" w:styleId="Sub-heading">
    <w:name w:val="Sub-heading"/>
    <w:basedOn w:val="Normal"/>
    <w:link w:val="Sub-headingChar"/>
    <w:qFormat/>
    <w:rsid w:val="005F481E"/>
    <w:rPr>
      <w:b/>
      <w:sz w:val="24"/>
    </w:rPr>
  </w:style>
  <w:style w:type="character" w:customStyle="1" w:styleId="Sub-headingChar">
    <w:name w:val="Sub-heading Char"/>
    <w:basedOn w:val="DefaultParagraphFont"/>
    <w:link w:val="Sub-heading"/>
    <w:rsid w:val="005F481E"/>
    <w:rPr>
      <w:rFonts w:ascii="Arial" w:eastAsia="Times New Roman" w:hAnsi="Arial" w:cs="Times New Roman"/>
      <w:b/>
      <w:color w:val="404040" w:themeColor="text1" w:themeTint="BF"/>
      <w:sz w:val="24"/>
      <w:szCs w:val="24"/>
    </w:rPr>
  </w:style>
  <w:style w:type="paragraph" w:styleId="FootnoteText">
    <w:name w:val="footnote text"/>
    <w:basedOn w:val="Normal"/>
    <w:link w:val="FootnoteTextChar"/>
    <w:uiPriority w:val="99"/>
    <w:unhideWhenUsed/>
    <w:rsid w:val="000027BE"/>
    <w:pPr>
      <w:spacing w:before="0"/>
    </w:pPr>
    <w:rPr>
      <w:sz w:val="20"/>
      <w:szCs w:val="20"/>
    </w:rPr>
  </w:style>
  <w:style w:type="character" w:customStyle="1" w:styleId="FootnoteTextChar">
    <w:name w:val="Footnote Text Char"/>
    <w:basedOn w:val="DefaultParagraphFont"/>
    <w:link w:val="FootnoteText"/>
    <w:uiPriority w:val="99"/>
    <w:rsid w:val="000027BE"/>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0027BE"/>
    <w:rPr>
      <w:vertAlign w:val="superscript"/>
    </w:rPr>
  </w:style>
  <w:style w:type="character" w:styleId="EndnoteReference">
    <w:name w:val="endnote reference"/>
    <w:basedOn w:val="DefaultParagraphFont"/>
    <w:uiPriority w:val="99"/>
    <w:semiHidden/>
    <w:unhideWhenUsed/>
    <w:rsid w:val="00AB3A8C"/>
    <w:rPr>
      <w:vertAlign w:val="superscript"/>
    </w:rPr>
  </w:style>
  <w:style w:type="table" w:customStyle="1" w:styleId="FinancialTable">
    <w:name w:val="Financial Table"/>
    <w:basedOn w:val="TableNormal"/>
    <w:uiPriority w:val="99"/>
    <w:rsid w:val="00AB3A8C"/>
    <w:pPr>
      <w:spacing w:before="40" w:after="0" w:line="240" w:lineRule="auto"/>
      <w:ind w:left="144" w:right="144"/>
    </w:pPr>
    <w:rPr>
      <w:color w:val="595959" w:themeColor="text1" w:themeTint="A6"/>
      <w:sz w:val="20"/>
      <w:szCs w:val="20"/>
      <w:lang w:val="en-US" w:eastAsia="ja-JP"/>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paragraph" w:styleId="ListBullet">
    <w:name w:val="List Bullet"/>
    <w:basedOn w:val="Normal"/>
    <w:uiPriority w:val="1"/>
    <w:unhideWhenUsed/>
    <w:rsid w:val="00AB3A8C"/>
    <w:pPr>
      <w:numPr>
        <w:numId w:val="10"/>
      </w:numPr>
      <w:spacing w:before="40" w:after="40" w:line="288" w:lineRule="auto"/>
    </w:pPr>
    <w:rPr>
      <w:rFonts w:asciiTheme="minorHAnsi" w:eastAsiaTheme="minorHAnsi" w:hAnsiTheme="minorHAnsi" w:cstheme="minorBidi"/>
      <w:color w:val="000000" w:themeColor="text1"/>
      <w:kern w:val="20"/>
      <w:sz w:val="20"/>
      <w:szCs w:val="20"/>
      <w:lang w:val="en-US" w:eastAsia="ja-JP"/>
      <w14:textFill>
        <w14:solidFill>
          <w14:schemeClr w14:val="tx1">
            <w14:lumMod w14:val="65000"/>
            <w14:lumOff w14:val="35000"/>
            <w14:lumMod w14:val="50000"/>
          </w14:schemeClr>
        </w14:solidFill>
      </w14:textFill>
    </w:rPr>
  </w:style>
  <w:style w:type="paragraph" w:customStyle="1" w:styleId="Dotpoints1">
    <w:name w:val="Dot points 1"/>
    <w:basedOn w:val="ListBullet"/>
    <w:link w:val="Dotpoints1Char"/>
    <w:rsid w:val="00AB3A8C"/>
    <w:pPr>
      <w:ind w:left="567" w:hanging="567"/>
    </w:pPr>
    <w:rPr>
      <w:lang w:val="en-AU"/>
    </w:rPr>
  </w:style>
  <w:style w:type="character" w:customStyle="1" w:styleId="Dotpoints1Char">
    <w:name w:val="Dot points 1 Char"/>
    <w:basedOn w:val="DefaultParagraphFont"/>
    <w:link w:val="Dotpoints1"/>
    <w:rsid w:val="00AB3A8C"/>
    <w:rPr>
      <w:color w:val="595959" w:themeColor="text1" w:themeTint="A6"/>
      <w:kern w:val="20"/>
      <w:sz w:val="20"/>
      <w:szCs w:val="20"/>
      <w:lang w:eastAsia="ja-JP"/>
    </w:rPr>
  </w:style>
  <w:style w:type="character" w:styleId="CommentReference">
    <w:name w:val="annotation reference"/>
    <w:basedOn w:val="DefaultParagraphFont"/>
    <w:uiPriority w:val="99"/>
    <w:semiHidden/>
    <w:unhideWhenUsed/>
    <w:rsid w:val="005B2CA8"/>
    <w:rPr>
      <w:sz w:val="16"/>
      <w:szCs w:val="16"/>
    </w:rPr>
  </w:style>
  <w:style w:type="paragraph" w:styleId="CommentText">
    <w:name w:val="annotation text"/>
    <w:basedOn w:val="Normal"/>
    <w:link w:val="CommentTextChar"/>
    <w:uiPriority w:val="99"/>
    <w:semiHidden/>
    <w:unhideWhenUsed/>
    <w:rsid w:val="005B2CA8"/>
    <w:rPr>
      <w:sz w:val="20"/>
      <w:szCs w:val="20"/>
    </w:rPr>
  </w:style>
  <w:style w:type="character" w:customStyle="1" w:styleId="CommentTextChar">
    <w:name w:val="Comment Text Char"/>
    <w:basedOn w:val="DefaultParagraphFont"/>
    <w:link w:val="CommentText"/>
    <w:uiPriority w:val="99"/>
    <w:semiHidden/>
    <w:rsid w:val="005B2CA8"/>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5B2CA8"/>
    <w:rPr>
      <w:b/>
      <w:bCs/>
    </w:rPr>
  </w:style>
  <w:style w:type="character" w:customStyle="1" w:styleId="CommentSubjectChar">
    <w:name w:val="Comment Subject Char"/>
    <w:basedOn w:val="CommentTextChar"/>
    <w:link w:val="CommentSubject"/>
    <w:uiPriority w:val="99"/>
    <w:semiHidden/>
    <w:rsid w:val="005B2CA8"/>
    <w:rPr>
      <w:rFonts w:ascii="Arial" w:eastAsia="Times New Roman" w:hAnsi="Arial" w:cs="Times New Roman"/>
      <w:b/>
      <w:bCs/>
      <w:sz w:val="20"/>
      <w:szCs w:val="20"/>
    </w:rPr>
  </w:style>
  <w:style w:type="paragraph" w:styleId="NormalWeb">
    <w:name w:val="Normal (Web)"/>
    <w:basedOn w:val="Normal"/>
    <w:uiPriority w:val="99"/>
    <w:semiHidden/>
    <w:unhideWhenUsed/>
    <w:rsid w:val="004E3DB5"/>
    <w:pPr>
      <w:spacing w:before="0" w:after="150"/>
    </w:pPr>
    <w:rPr>
      <w:rFonts w:ascii="Times New Roman" w:hAnsi="Times New Roman"/>
      <w:sz w:val="24"/>
      <w:lang w:eastAsia="en-AU"/>
    </w:rPr>
  </w:style>
  <w:style w:type="paragraph" w:styleId="Revision">
    <w:name w:val="Revision"/>
    <w:hidden/>
    <w:uiPriority w:val="99"/>
    <w:semiHidden/>
    <w:rsid w:val="005C46D0"/>
    <w:pPr>
      <w:spacing w:after="0" w:line="240" w:lineRule="auto"/>
    </w:pPr>
    <w:rPr>
      <w:rFonts w:ascii="Arial" w:eastAsia="Times New Roman" w:hAnsi="Arial" w:cs="Times New Roman"/>
      <w:szCs w:val="24"/>
    </w:rPr>
  </w:style>
  <w:style w:type="character" w:customStyle="1" w:styleId="ListParagraphChar">
    <w:name w:val="List Paragraph Char"/>
    <w:link w:val="ListParagraph"/>
    <w:uiPriority w:val="34"/>
    <w:rsid w:val="00924500"/>
    <w:rPr>
      <w:rFonts w:ascii="Arial" w:eastAsia="Times New Roman" w:hAnsi="Arial" w:cs="Times New Roman"/>
      <w:color w:val="808080" w:themeColor="background1" w:themeShade="80"/>
      <w:szCs w:val="24"/>
    </w:rPr>
  </w:style>
  <w:style w:type="character" w:customStyle="1" w:styleId="apple-converted-space">
    <w:name w:val="apple-converted-space"/>
    <w:basedOn w:val="DefaultParagraphFont"/>
    <w:rsid w:val="00735113"/>
  </w:style>
  <w:style w:type="paragraph" w:styleId="BodyText2">
    <w:name w:val="Body Text 2"/>
    <w:basedOn w:val="Normal"/>
    <w:link w:val="BodyText2Char"/>
    <w:uiPriority w:val="99"/>
    <w:unhideWhenUsed/>
    <w:rsid w:val="00754CB3"/>
    <w:pPr>
      <w:spacing w:before="0" w:after="120" w:line="480" w:lineRule="auto"/>
    </w:pPr>
  </w:style>
  <w:style w:type="character" w:customStyle="1" w:styleId="BodyText2Char">
    <w:name w:val="Body Text 2 Char"/>
    <w:basedOn w:val="DefaultParagraphFont"/>
    <w:link w:val="BodyText2"/>
    <w:uiPriority w:val="99"/>
    <w:rsid w:val="00754CB3"/>
    <w:rPr>
      <w:rFonts w:ascii="Arial" w:eastAsia="Times New Roman" w:hAnsi="Arial" w:cs="Times New Roman"/>
      <w:szCs w:val="24"/>
    </w:rPr>
  </w:style>
  <w:style w:type="paragraph" w:styleId="BodyText3">
    <w:name w:val="Body Text 3"/>
    <w:basedOn w:val="Normal"/>
    <w:link w:val="BodyText3Char"/>
    <w:uiPriority w:val="99"/>
    <w:unhideWhenUsed/>
    <w:rsid w:val="00754CB3"/>
    <w:pPr>
      <w:spacing w:before="0" w:after="120" w:line="480" w:lineRule="auto"/>
    </w:pPr>
    <w:rPr>
      <w:sz w:val="16"/>
      <w:szCs w:val="16"/>
    </w:rPr>
  </w:style>
  <w:style w:type="character" w:customStyle="1" w:styleId="BodyText3Char">
    <w:name w:val="Body Text 3 Char"/>
    <w:basedOn w:val="DefaultParagraphFont"/>
    <w:link w:val="BodyText3"/>
    <w:uiPriority w:val="99"/>
    <w:rsid w:val="00754CB3"/>
    <w:rPr>
      <w:rFonts w:ascii="Arial" w:eastAsia="Times New Roman" w:hAnsi="Arial" w:cs="Times New Roman"/>
      <w:sz w:val="16"/>
      <w:szCs w:val="16"/>
    </w:rPr>
  </w:style>
  <w:style w:type="table" w:styleId="MediumGrid1-Accent1">
    <w:name w:val="Medium Grid 1 Accent 1"/>
    <w:basedOn w:val="TableNormal"/>
    <w:uiPriority w:val="67"/>
    <w:rsid w:val="00754CB3"/>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FollowedHyperlink">
    <w:name w:val="FollowedHyperlink"/>
    <w:basedOn w:val="DefaultParagraphFont"/>
    <w:uiPriority w:val="99"/>
    <w:semiHidden/>
    <w:unhideWhenUsed/>
    <w:rsid w:val="006176B8"/>
    <w:rPr>
      <w:color w:val="800080" w:themeColor="followedHyperlink"/>
      <w:u w:val="single"/>
    </w:rPr>
  </w:style>
  <w:style w:type="paragraph" w:customStyle="1" w:styleId="Listnumbered">
    <w:name w:val="List numbered"/>
    <w:basedOn w:val="ListParagraph"/>
    <w:qFormat/>
    <w:rsid w:val="00924500"/>
    <w:pPr>
      <w:numPr>
        <w:numId w:val="29"/>
      </w:numPr>
      <w:ind w:left="709" w:hanging="283"/>
      <w:contextualSpacing w:val="0"/>
    </w:pPr>
  </w:style>
  <w:style w:type="paragraph" w:customStyle="1" w:styleId="Table">
    <w:name w:val="Table"/>
    <w:basedOn w:val="Normal"/>
    <w:qFormat/>
    <w:rsid w:val="00AE08A9"/>
    <w:pPr>
      <w:spacing w:before="60" w:after="60"/>
      <w:ind w:left="-108"/>
    </w:pPr>
    <w:rPr>
      <w:b/>
      <w:sz w:val="20"/>
      <w:szCs w:val="20"/>
    </w:rPr>
  </w:style>
  <w:style w:type="paragraph" w:customStyle="1" w:styleId="TableLIst">
    <w:name w:val="Table LIst"/>
    <w:basedOn w:val="ListParagraph"/>
    <w:qFormat/>
    <w:rsid w:val="00AE08A9"/>
    <w:pPr>
      <w:spacing w:before="60" w:after="60"/>
      <w:ind w:left="431" w:hanging="431"/>
    </w:pPr>
    <w:rPr>
      <w:sz w:val="20"/>
      <w:szCs w:val="20"/>
    </w:rPr>
  </w:style>
  <w:style w:type="paragraph" w:customStyle="1" w:styleId="List2Columns">
    <w:name w:val="List 2 Columns"/>
    <w:basedOn w:val="TableLIst"/>
    <w:qFormat/>
    <w:rsid w:val="00A127BB"/>
    <w:pPr>
      <w:ind w:left="709" w:hanging="284"/>
    </w:pPr>
  </w:style>
  <w:style w:type="paragraph" w:customStyle="1" w:styleId="TableLIstNumbered">
    <w:name w:val="Table LIst Numbered"/>
    <w:basedOn w:val="TableLIst"/>
    <w:qFormat/>
    <w:rsid w:val="00A45C51"/>
    <w:pPr>
      <w:numPr>
        <w:numId w:val="32"/>
      </w:numPr>
      <w:ind w:left="431" w:hanging="42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764441">
      <w:bodyDiv w:val="1"/>
      <w:marLeft w:val="0"/>
      <w:marRight w:val="0"/>
      <w:marTop w:val="0"/>
      <w:marBottom w:val="0"/>
      <w:divBdr>
        <w:top w:val="none" w:sz="0" w:space="0" w:color="auto"/>
        <w:left w:val="none" w:sz="0" w:space="0" w:color="auto"/>
        <w:bottom w:val="none" w:sz="0" w:space="0" w:color="auto"/>
        <w:right w:val="none" w:sz="0" w:space="0" w:color="auto"/>
      </w:divBdr>
      <w:divsChild>
        <w:div w:id="651174195">
          <w:marLeft w:val="0"/>
          <w:marRight w:val="0"/>
          <w:marTop w:val="0"/>
          <w:marBottom w:val="0"/>
          <w:divBdr>
            <w:top w:val="none" w:sz="0" w:space="0" w:color="auto"/>
            <w:left w:val="none" w:sz="0" w:space="0" w:color="auto"/>
            <w:bottom w:val="none" w:sz="0" w:space="0" w:color="auto"/>
            <w:right w:val="none" w:sz="0" w:space="0" w:color="auto"/>
          </w:divBdr>
          <w:divsChild>
            <w:div w:id="901210794">
              <w:marLeft w:val="0"/>
              <w:marRight w:val="0"/>
              <w:marTop w:val="0"/>
              <w:marBottom w:val="0"/>
              <w:divBdr>
                <w:top w:val="none" w:sz="0" w:space="0" w:color="auto"/>
                <w:left w:val="none" w:sz="0" w:space="0" w:color="auto"/>
                <w:bottom w:val="none" w:sz="0" w:space="0" w:color="auto"/>
                <w:right w:val="none" w:sz="0" w:space="0" w:color="auto"/>
              </w:divBdr>
            </w:div>
            <w:div w:id="1603803860">
              <w:marLeft w:val="0"/>
              <w:marRight w:val="0"/>
              <w:marTop w:val="0"/>
              <w:marBottom w:val="0"/>
              <w:divBdr>
                <w:top w:val="none" w:sz="0" w:space="0" w:color="auto"/>
                <w:left w:val="none" w:sz="0" w:space="0" w:color="auto"/>
                <w:bottom w:val="none" w:sz="0" w:space="0" w:color="auto"/>
                <w:right w:val="none" w:sz="0" w:space="0" w:color="auto"/>
              </w:divBdr>
              <w:divsChild>
                <w:div w:id="731273705">
                  <w:marLeft w:val="0"/>
                  <w:marRight w:val="0"/>
                  <w:marTop w:val="0"/>
                  <w:marBottom w:val="0"/>
                  <w:divBdr>
                    <w:top w:val="none" w:sz="0" w:space="0" w:color="auto"/>
                    <w:left w:val="none" w:sz="0" w:space="0" w:color="auto"/>
                    <w:bottom w:val="none" w:sz="0" w:space="0" w:color="auto"/>
                    <w:right w:val="none" w:sz="0" w:space="0" w:color="auto"/>
                  </w:divBdr>
                </w:div>
              </w:divsChild>
            </w:div>
            <w:div w:id="1034234437">
              <w:marLeft w:val="0"/>
              <w:marRight w:val="0"/>
              <w:marTop w:val="0"/>
              <w:marBottom w:val="0"/>
              <w:divBdr>
                <w:top w:val="none" w:sz="0" w:space="0" w:color="auto"/>
                <w:left w:val="none" w:sz="0" w:space="0" w:color="auto"/>
                <w:bottom w:val="none" w:sz="0" w:space="0" w:color="auto"/>
                <w:right w:val="none" w:sz="0" w:space="0" w:color="auto"/>
              </w:divBdr>
              <w:divsChild>
                <w:div w:id="1251356483">
                  <w:marLeft w:val="0"/>
                  <w:marRight w:val="0"/>
                  <w:marTop w:val="0"/>
                  <w:marBottom w:val="0"/>
                  <w:divBdr>
                    <w:top w:val="none" w:sz="0" w:space="0" w:color="auto"/>
                    <w:left w:val="none" w:sz="0" w:space="0" w:color="auto"/>
                    <w:bottom w:val="none" w:sz="0" w:space="0" w:color="auto"/>
                    <w:right w:val="none" w:sz="0" w:space="0" w:color="auto"/>
                  </w:divBdr>
                </w:div>
              </w:divsChild>
            </w:div>
            <w:div w:id="1250776488">
              <w:marLeft w:val="0"/>
              <w:marRight w:val="0"/>
              <w:marTop w:val="0"/>
              <w:marBottom w:val="0"/>
              <w:divBdr>
                <w:top w:val="none" w:sz="0" w:space="0" w:color="auto"/>
                <w:left w:val="none" w:sz="0" w:space="0" w:color="auto"/>
                <w:bottom w:val="none" w:sz="0" w:space="0" w:color="auto"/>
                <w:right w:val="none" w:sz="0" w:space="0" w:color="auto"/>
              </w:divBdr>
              <w:divsChild>
                <w:div w:id="1205409399">
                  <w:marLeft w:val="0"/>
                  <w:marRight w:val="0"/>
                  <w:marTop w:val="0"/>
                  <w:marBottom w:val="0"/>
                  <w:divBdr>
                    <w:top w:val="none" w:sz="0" w:space="0" w:color="auto"/>
                    <w:left w:val="none" w:sz="0" w:space="0" w:color="auto"/>
                    <w:bottom w:val="none" w:sz="0" w:space="0" w:color="auto"/>
                    <w:right w:val="none" w:sz="0" w:space="0" w:color="auto"/>
                  </w:divBdr>
                </w:div>
                <w:div w:id="1908103733">
                  <w:marLeft w:val="0"/>
                  <w:marRight w:val="0"/>
                  <w:marTop w:val="0"/>
                  <w:marBottom w:val="0"/>
                  <w:divBdr>
                    <w:top w:val="none" w:sz="0" w:space="0" w:color="auto"/>
                    <w:left w:val="none" w:sz="0" w:space="0" w:color="auto"/>
                    <w:bottom w:val="none" w:sz="0" w:space="0" w:color="auto"/>
                    <w:right w:val="none" w:sz="0" w:space="0" w:color="auto"/>
                  </w:divBdr>
                </w:div>
              </w:divsChild>
            </w:div>
            <w:div w:id="313218103">
              <w:marLeft w:val="0"/>
              <w:marRight w:val="0"/>
              <w:marTop w:val="0"/>
              <w:marBottom w:val="0"/>
              <w:divBdr>
                <w:top w:val="none" w:sz="0" w:space="0" w:color="auto"/>
                <w:left w:val="none" w:sz="0" w:space="0" w:color="auto"/>
                <w:bottom w:val="none" w:sz="0" w:space="0" w:color="auto"/>
                <w:right w:val="none" w:sz="0" w:space="0" w:color="auto"/>
              </w:divBdr>
            </w:div>
            <w:div w:id="370426648">
              <w:marLeft w:val="0"/>
              <w:marRight w:val="0"/>
              <w:marTop w:val="0"/>
              <w:marBottom w:val="0"/>
              <w:divBdr>
                <w:top w:val="none" w:sz="0" w:space="0" w:color="auto"/>
                <w:left w:val="none" w:sz="0" w:space="0" w:color="auto"/>
                <w:bottom w:val="none" w:sz="0" w:space="0" w:color="auto"/>
                <w:right w:val="none" w:sz="0" w:space="0" w:color="auto"/>
              </w:divBdr>
              <w:divsChild>
                <w:div w:id="1060444976">
                  <w:marLeft w:val="0"/>
                  <w:marRight w:val="0"/>
                  <w:marTop w:val="0"/>
                  <w:marBottom w:val="0"/>
                  <w:divBdr>
                    <w:top w:val="none" w:sz="0" w:space="0" w:color="auto"/>
                    <w:left w:val="none" w:sz="0" w:space="0" w:color="auto"/>
                    <w:bottom w:val="single" w:sz="12" w:space="0" w:color="DADADA"/>
                    <w:right w:val="none" w:sz="0" w:space="0" w:color="auto"/>
                  </w:divBdr>
                  <w:divsChild>
                    <w:div w:id="467818967">
                      <w:marLeft w:val="0"/>
                      <w:marRight w:val="0"/>
                      <w:marTop w:val="0"/>
                      <w:marBottom w:val="0"/>
                      <w:divBdr>
                        <w:top w:val="none" w:sz="0" w:space="0" w:color="auto"/>
                        <w:left w:val="none" w:sz="0" w:space="0" w:color="auto"/>
                        <w:bottom w:val="none" w:sz="0" w:space="0" w:color="auto"/>
                        <w:right w:val="none" w:sz="0" w:space="0" w:color="auto"/>
                      </w:divBdr>
                    </w:div>
                  </w:divsChild>
                </w:div>
                <w:div w:id="770122721">
                  <w:marLeft w:val="0"/>
                  <w:marRight w:val="0"/>
                  <w:marTop w:val="0"/>
                  <w:marBottom w:val="0"/>
                  <w:divBdr>
                    <w:top w:val="none" w:sz="0" w:space="0" w:color="auto"/>
                    <w:left w:val="none" w:sz="0" w:space="0" w:color="auto"/>
                    <w:bottom w:val="none" w:sz="0" w:space="0" w:color="auto"/>
                    <w:right w:val="none" w:sz="0" w:space="0" w:color="auto"/>
                  </w:divBdr>
                  <w:divsChild>
                    <w:div w:id="1518615591">
                      <w:marLeft w:val="0"/>
                      <w:marRight w:val="0"/>
                      <w:marTop w:val="0"/>
                      <w:marBottom w:val="0"/>
                      <w:divBdr>
                        <w:top w:val="none" w:sz="0" w:space="0" w:color="auto"/>
                        <w:left w:val="none" w:sz="0" w:space="0" w:color="auto"/>
                        <w:bottom w:val="none" w:sz="0" w:space="0" w:color="auto"/>
                        <w:right w:val="none" w:sz="0" w:space="0" w:color="auto"/>
                      </w:divBdr>
                      <w:divsChild>
                        <w:div w:id="761953476">
                          <w:marLeft w:val="0"/>
                          <w:marRight w:val="0"/>
                          <w:marTop w:val="0"/>
                          <w:marBottom w:val="0"/>
                          <w:divBdr>
                            <w:top w:val="none" w:sz="0" w:space="0" w:color="auto"/>
                            <w:left w:val="none" w:sz="0" w:space="0" w:color="auto"/>
                            <w:bottom w:val="none" w:sz="0" w:space="0" w:color="auto"/>
                            <w:right w:val="none" w:sz="0" w:space="0" w:color="auto"/>
                          </w:divBdr>
                          <w:divsChild>
                            <w:div w:id="1000040890">
                              <w:marLeft w:val="0"/>
                              <w:marRight w:val="0"/>
                              <w:marTop w:val="0"/>
                              <w:marBottom w:val="0"/>
                              <w:divBdr>
                                <w:top w:val="none" w:sz="0" w:space="0" w:color="auto"/>
                                <w:left w:val="none" w:sz="0" w:space="0" w:color="auto"/>
                                <w:bottom w:val="none" w:sz="0" w:space="0" w:color="auto"/>
                                <w:right w:val="none" w:sz="0" w:space="0" w:color="auto"/>
                              </w:divBdr>
                            </w:div>
                          </w:divsChild>
                        </w:div>
                        <w:div w:id="365179263">
                          <w:marLeft w:val="0"/>
                          <w:marRight w:val="0"/>
                          <w:marTop w:val="0"/>
                          <w:marBottom w:val="0"/>
                          <w:divBdr>
                            <w:top w:val="single" w:sz="6" w:space="11" w:color="BFBFBF"/>
                            <w:left w:val="none" w:sz="0" w:space="0" w:color="auto"/>
                            <w:bottom w:val="none" w:sz="0" w:space="0" w:color="auto"/>
                            <w:right w:val="none" w:sz="0" w:space="0" w:color="auto"/>
                          </w:divBdr>
                        </w:div>
                      </w:divsChild>
                    </w:div>
                  </w:divsChild>
                </w:div>
                <w:div w:id="999651364">
                  <w:marLeft w:val="0"/>
                  <w:marRight w:val="0"/>
                  <w:marTop w:val="0"/>
                  <w:marBottom w:val="0"/>
                  <w:divBdr>
                    <w:top w:val="none" w:sz="0" w:space="0" w:color="auto"/>
                    <w:left w:val="none" w:sz="0" w:space="0" w:color="auto"/>
                    <w:bottom w:val="none" w:sz="0" w:space="0" w:color="auto"/>
                    <w:right w:val="none" w:sz="0" w:space="0" w:color="auto"/>
                  </w:divBdr>
                  <w:divsChild>
                    <w:div w:id="1395081999">
                      <w:marLeft w:val="0"/>
                      <w:marRight w:val="0"/>
                      <w:marTop w:val="0"/>
                      <w:marBottom w:val="0"/>
                      <w:divBdr>
                        <w:top w:val="none" w:sz="0" w:space="0" w:color="auto"/>
                        <w:left w:val="none" w:sz="0" w:space="0" w:color="auto"/>
                        <w:bottom w:val="none" w:sz="0" w:space="0" w:color="auto"/>
                        <w:right w:val="none" w:sz="0" w:space="0" w:color="auto"/>
                      </w:divBdr>
                      <w:divsChild>
                        <w:div w:id="785540696">
                          <w:marLeft w:val="0"/>
                          <w:marRight w:val="0"/>
                          <w:marTop w:val="0"/>
                          <w:marBottom w:val="0"/>
                          <w:divBdr>
                            <w:top w:val="none" w:sz="0" w:space="0" w:color="auto"/>
                            <w:left w:val="none" w:sz="0" w:space="0" w:color="auto"/>
                            <w:bottom w:val="none" w:sz="0" w:space="0" w:color="auto"/>
                            <w:right w:val="none" w:sz="0" w:space="0" w:color="auto"/>
                          </w:divBdr>
                        </w:div>
                      </w:divsChild>
                    </w:div>
                    <w:div w:id="1086733248">
                      <w:marLeft w:val="0"/>
                      <w:marRight w:val="0"/>
                      <w:marTop w:val="0"/>
                      <w:marBottom w:val="0"/>
                      <w:divBdr>
                        <w:top w:val="none" w:sz="0" w:space="0" w:color="auto"/>
                        <w:left w:val="none" w:sz="0" w:space="0" w:color="auto"/>
                        <w:bottom w:val="none" w:sz="0" w:space="0" w:color="auto"/>
                        <w:right w:val="none" w:sz="0" w:space="0" w:color="auto"/>
                      </w:divBdr>
                      <w:divsChild>
                        <w:div w:id="53373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87150">
              <w:marLeft w:val="0"/>
              <w:marRight w:val="0"/>
              <w:marTop w:val="0"/>
              <w:marBottom w:val="0"/>
              <w:divBdr>
                <w:top w:val="none" w:sz="0" w:space="0" w:color="auto"/>
                <w:left w:val="none" w:sz="0" w:space="0" w:color="auto"/>
                <w:bottom w:val="none" w:sz="0" w:space="0" w:color="auto"/>
                <w:right w:val="none" w:sz="0" w:space="0" w:color="auto"/>
              </w:divBdr>
              <w:divsChild>
                <w:div w:id="301543557">
                  <w:marLeft w:val="0"/>
                  <w:marRight w:val="0"/>
                  <w:marTop w:val="0"/>
                  <w:marBottom w:val="0"/>
                  <w:divBdr>
                    <w:top w:val="none" w:sz="0" w:space="0" w:color="auto"/>
                    <w:left w:val="none" w:sz="0" w:space="0" w:color="auto"/>
                    <w:bottom w:val="none" w:sz="0" w:space="0" w:color="auto"/>
                    <w:right w:val="none" w:sz="0" w:space="0" w:color="auto"/>
                  </w:divBdr>
                </w:div>
                <w:div w:id="1029261406">
                  <w:marLeft w:val="0"/>
                  <w:marRight w:val="0"/>
                  <w:marTop w:val="0"/>
                  <w:marBottom w:val="0"/>
                  <w:divBdr>
                    <w:top w:val="none" w:sz="0" w:space="0" w:color="auto"/>
                    <w:left w:val="none" w:sz="0" w:space="0" w:color="auto"/>
                    <w:bottom w:val="none" w:sz="0" w:space="0" w:color="auto"/>
                    <w:right w:val="none" w:sz="0" w:space="0" w:color="auto"/>
                  </w:divBdr>
                </w:div>
                <w:div w:id="1845051427">
                  <w:marLeft w:val="0"/>
                  <w:marRight w:val="0"/>
                  <w:marTop w:val="0"/>
                  <w:marBottom w:val="0"/>
                  <w:divBdr>
                    <w:top w:val="none" w:sz="0" w:space="0" w:color="auto"/>
                    <w:left w:val="none" w:sz="0" w:space="0" w:color="auto"/>
                    <w:bottom w:val="none" w:sz="0" w:space="0" w:color="auto"/>
                    <w:right w:val="none" w:sz="0" w:space="0" w:color="auto"/>
                  </w:divBdr>
                </w:div>
                <w:div w:id="403257460">
                  <w:marLeft w:val="0"/>
                  <w:marRight w:val="0"/>
                  <w:marTop w:val="0"/>
                  <w:marBottom w:val="0"/>
                  <w:divBdr>
                    <w:top w:val="none" w:sz="0" w:space="0" w:color="auto"/>
                    <w:left w:val="none" w:sz="0" w:space="0" w:color="auto"/>
                    <w:bottom w:val="none" w:sz="0" w:space="0" w:color="auto"/>
                    <w:right w:val="none" w:sz="0" w:space="0" w:color="auto"/>
                  </w:divBdr>
                  <w:divsChild>
                    <w:div w:id="980381403">
                      <w:marLeft w:val="0"/>
                      <w:marRight w:val="0"/>
                      <w:marTop w:val="0"/>
                      <w:marBottom w:val="0"/>
                      <w:divBdr>
                        <w:top w:val="none" w:sz="0" w:space="0" w:color="auto"/>
                        <w:left w:val="none" w:sz="0" w:space="0" w:color="auto"/>
                        <w:bottom w:val="none" w:sz="0" w:space="0" w:color="auto"/>
                        <w:right w:val="none" w:sz="0" w:space="0" w:color="auto"/>
                      </w:divBdr>
                      <w:divsChild>
                        <w:div w:id="479005578">
                          <w:marLeft w:val="0"/>
                          <w:marRight w:val="0"/>
                          <w:marTop w:val="0"/>
                          <w:marBottom w:val="0"/>
                          <w:divBdr>
                            <w:top w:val="none" w:sz="0" w:space="0" w:color="auto"/>
                            <w:left w:val="none" w:sz="0" w:space="0" w:color="auto"/>
                            <w:bottom w:val="none" w:sz="0" w:space="0" w:color="auto"/>
                            <w:right w:val="none" w:sz="0" w:space="0" w:color="auto"/>
                          </w:divBdr>
                        </w:div>
                      </w:divsChild>
                    </w:div>
                    <w:div w:id="18302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22727">
              <w:marLeft w:val="0"/>
              <w:marRight w:val="0"/>
              <w:marTop w:val="0"/>
              <w:marBottom w:val="0"/>
              <w:divBdr>
                <w:top w:val="none" w:sz="0" w:space="0" w:color="auto"/>
                <w:left w:val="none" w:sz="0" w:space="0" w:color="auto"/>
                <w:bottom w:val="none" w:sz="0" w:space="0" w:color="auto"/>
                <w:right w:val="none" w:sz="0" w:space="0" w:color="auto"/>
              </w:divBdr>
            </w:div>
            <w:div w:id="1036854079">
              <w:marLeft w:val="0"/>
              <w:marRight w:val="0"/>
              <w:marTop w:val="0"/>
              <w:marBottom w:val="0"/>
              <w:divBdr>
                <w:top w:val="none" w:sz="0" w:space="0" w:color="auto"/>
                <w:left w:val="none" w:sz="0" w:space="0" w:color="auto"/>
                <w:bottom w:val="none" w:sz="0" w:space="0" w:color="auto"/>
                <w:right w:val="none" w:sz="0" w:space="0" w:color="auto"/>
              </w:divBdr>
              <w:divsChild>
                <w:div w:id="1057388375">
                  <w:marLeft w:val="0"/>
                  <w:marRight w:val="0"/>
                  <w:marTop w:val="0"/>
                  <w:marBottom w:val="0"/>
                  <w:divBdr>
                    <w:top w:val="none" w:sz="0" w:space="0" w:color="auto"/>
                    <w:left w:val="none" w:sz="0" w:space="0" w:color="auto"/>
                    <w:bottom w:val="none" w:sz="0" w:space="0" w:color="auto"/>
                    <w:right w:val="none" w:sz="0" w:space="0" w:color="auto"/>
                  </w:divBdr>
                  <w:divsChild>
                    <w:div w:id="1140684188">
                      <w:marLeft w:val="0"/>
                      <w:marRight w:val="0"/>
                      <w:marTop w:val="0"/>
                      <w:marBottom w:val="0"/>
                      <w:divBdr>
                        <w:top w:val="none" w:sz="0" w:space="0" w:color="auto"/>
                        <w:left w:val="none" w:sz="0" w:space="0" w:color="auto"/>
                        <w:bottom w:val="none" w:sz="0" w:space="0" w:color="auto"/>
                        <w:right w:val="none" w:sz="0" w:space="0" w:color="auto"/>
                      </w:divBdr>
                    </w:div>
                    <w:div w:id="346180938">
                      <w:marLeft w:val="0"/>
                      <w:marRight w:val="0"/>
                      <w:marTop w:val="0"/>
                      <w:marBottom w:val="0"/>
                      <w:divBdr>
                        <w:top w:val="none" w:sz="0" w:space="0" w:color="auto"/>
                        <w:left w:val="none" w:sz="0" w:space="0" w:color="auto"/>
                        <w:bottom w:val="none" w:sz="0" w:space="0" w:color="auto"/>
                        <w:right w:val="none" w:sz="0" w:space="0" w:color="auto"/>
                      </w:divBdr>
                    </w:div>
                  </w:divsChild>
                </w:div>
                <w:div w:id="895237646">
                  <w:marLeft w:val="0"/>
                  <w:marRight w:val="0"/>
                  <w:marTop w:val="0"/>
                  <w:marBottom w:val="0"/>
                  <w:divBdr>
                    <w:top w:val="none" w:sz="0" w:space="0" w:color="auto"/>
                    <w:left w:val="none" w:sz="0" w:space="0" w:color="auto"/>
                    <w:bottom w:val="none" w:sz="0" w:space="0" w:color="auto"/>
                    <w:right w:val="none" w:sz="0" w:space="0" w:color="auto"/>
                  </w:divBdr>
                </w:div>
              </w:divsChild>
            </w:div>
            <w:div w:id="175173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42229">
      <w:bodyDiv w:val="1"/>
      <w:marLeft w:val="0"/>
      <w:marRight w:val="0"/>
      <w:marTop w:val="0"/>
      <w:marBottom w:val="0"/>
      <w:divBdr>
        <w:top w:val="none" w:sz="0" w:space="0" w:color="auto"/>
        <w:left w:val="none" w:sz="0" w:space="0" w:color="auto"/>
        <w:bottom w:val="none" w:sz="0" w:space="0" w:color="auto"/>
        <w:right w:val="none" w:sz="0" w:space="0" w:color="auto"/>
      </w:divBdr>
    </w:div>
    <w:div w:id="1655596890">
      <w:bodyDiv w:val="1"/>
      <w:marLeft w:val="0"/>
      <w:marRight w:val="0"/>
      <w:marTop w:val="0"/>
      <w:marBottom w:val="0"/>
      <w:divBdr>
        <w:top w:val="none" w:sz="0" w:space="0" w:color="auto"/>
        <w:left w:val="none" w:sz="0" w:space="0" w:color="auto"/>
        <w:bottom w:val="none" w:sz="0" w:space="0" w:color="auto"/>
        <w:right w:val="none" w:sz="0" w:space="0" w:color="auto"/>
      </w:divBdr>
    </w:div>
    <w:div w:id="1668706765">
      <w:bodyDiv w:val="1"/>
      <w:marLeft w:val="0"/>
      <w:marRight w:val="0"/>
      <w:marTop w:val="0"/>
      <w:marBottom w:val="0"/>
      <w:divBdr>
        <w:top w:val="none" w:sz="0" w:space="0" w:color="auto"/>
        <w:left w:val="none" w:sz="0" w:space="0" w:color="auto"/>
        <w:bottom w:val="none" w:sz="0" w:space="0" w:color="auto"/>
        <w:right w:val="none" w:sz="0" w:space="0" w:color="auto"/>
      </w:divBdr>
    </w:div>
    <w:div w:id="1799033211">
      <w:bodyDiv w:val="1"/>
      <w:marLeft w:val="0"/>
      <w:marRight w:val="0"/>
      <w:marTop w:val="0"/>
      <w:marBottom w:val="0"/>
      <w:divBdr>
        <w:top w:val="none" w:sz="0" w:space="0" w:color="auto"/>
        <w:left w:val="none" w:sz="0" w:space="0" w:color="auto"/>
        <w:bottom w:val="none" w:sz="0" w:space="0" w:color="auto"/>
        <w:right w:val="none" w:sz="0" w:space="0" w:color="auto"/>
      </w:divBdr>
      <w:divsChild>
        <w:div w:id="310985018">
          <w:marLeft w:val="0"/>
          <w:marRight w:val="0"/>
          <w:marTop w:val="0"/>
          <w:marBottom w:val="0"/>
          <w:divBdr>
            <w:top w:val="none" w:sz="0" w:space="0" w:color="auto"/>
            <w:left w:val="none" w:sz="0" w:space="0" w:color="auto"/>
            <w:bottom w:val="none" w:sz="0" w:space="0" w:color="auto"/>
            <w:right w:val="none" w:sz="0" w:space="0" w:color="auto"/>
          </w:divBdr>
          <w:divsChild>
            <w:div w:id="1721900478">
              <w:marLeft w:val="0"/>
              <w:marRight w:val="0"/>
              <w:marTop w:val="0"/>
              <w:marBottom w:val="0"/>
              <w:divBdr>
                <w:top w:val="none" w:sz="0" w:space="0" w:color="auto"/>
                <w:left w:val="none" w:sz="0" w:space="0" w:color="auto"/>
                <w:bottom w:val="none" w:sz="0" w:space="0" w:color="auto"/>
                <w:right w:val="none" w:sz="0" w:space="0" w:color="auto"/>
              </w:divBdr>
              <w:divsChild>
                <w:div w:id="1732344173">
                  <w:marLeft w:val="0"/>
                  <w:marRight w:val="0"/>
                  <w:marTop w:val="0"/>
                  <w:marBottom w:val="0"/>
                  <w:divBdr>
                    <w:top w:val="none" w:sz="0" w:space="0" w:color="auto"/>
                    <w:left w:val="none" w:sz="0" w:space="0" w:color="auto"/>
                    <w:bottom w:val="none" w:sz="0" w:space="0" w:color="auto"/>
                    <w:right w:val="none" w:sz="0" w:space="0" w:color="auto"/>
                  </w:divBdr>
                  <w:divsChild>
                    <w:div w:id="67268311">
                      <w:marLeft w:val="0"/>
                      <w:marRight w:val="0"/>
                      <w:marTop w:val="0"/>
                      <w:marBottom w:val="0"/>
                      <w:divBdr>
                        <w:top w:val="none" w:sz="0" w:space="0" w:color="auto"/>
                        <w:left w:val="none" w:sz="0" w:space="0" w:color="auto"/>
                        <w:bottom w:val="none" w:sz="0" w:space="0" w:color="auto"/>
                        <w:right w:val="none" w:sz="0" w:space="0" w:color="auto"/>
                      </w:divBdr>
                      <w:divsChild>
                        <w:div w:id="1384866743">
                          <w:marLeft w:val="0"/>
                          <w:marRight w:val="0"/>
                          <w:marTop w:val="0"/>
                          <w:marBottom w:val="0"/>
                          <w:divBdr>
                            <w:top w:val="none" w:sz="0" w:space="0" w:color="auto"/>
                            <w:left w:val="none" w:sz="0" w:space="0" w:color="auto"/>
                            <w:bottom w:val="none" w:sz="0" w:space="0" w:color="auto"/>
                            <w:right w:val="none" w:sz="0" w:space="0" w:color="auto"/>
                          </w:divBdr>
                          <w:divsChild>
                            <w:div w:id="1205483756">
                              <w:marLeft w:val="0"/>
                              <w:marRight w:val="0"/>
                              <w:marTop w:val="0"/>
                              <w:marBottom w:val="0"/>
                              <w:divBdr>
                                <w:top w:val="none" w:sz="0" w:space="0" w:color="auto"/>
                                <w:left w:val="none" w:sz="0" w:space="0" w:color="auto"/>
                                <w:bottom w:val="none" w:sz="0" w:space="0" w:color="auto"/>
                                <w:right w:val="none" w:sz="0" w:space="0" w:color="auto"/>
                              </w:divBdr>
                              <w:divsChild>
                                <w:div w:id="171569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_rels/footer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6d1fa80e-b691-426d-986d-84fb7f507361" xsi:nil="true"/>
    <aa218efc2d014a1297a8cbc4e52c2cdf xmlns="6d1fa80e-b691-426d-986d-84fb7f507361">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72d41b36-4258-4788-9a78-e5452fe116b3</TermId>
        </TermInfo>
      </Terms>
    </aa218efc2d014a1297a8cbc4e52c2cdf>
    <IconOverlay xmlns="http://schemas.microsoft.com/sharepoint/v4" xsi:nil="true"/>
    <PublishingStartDate xmlns="http://schemas.microsoft.com/sharepoint/v3" xsi:nil="true"/>
    <PublishingExpirationDate xmlns="http://schemas.microsoft.com/sharepoint/v3" xsi:nil="true"/>
    <ef17b7cd31e04440926a84c55eb544fd xmlns="6d1fa80e-b691-426d-986d-84fb7f507361">
      <Terms xmlns="http://schemas.microsoft.com/office/infopath/2007/PartnerControls">
        <TermInfo xmlns="http://schemas.microsoft.com/office/infopath/2007/PartnerControls">
          <TermName xmlns="http://schemas.microsoft.com/office/infopath/2007/PartnerControls">Communications and Information Management</TermName>
          <TermId xmlns="http://schemas.microsoft.com/office/infopath/2007/PartnerControls">0fd376d4-93ab-4b61-9e34-9ef9f5118c64</TermId>
        </TermInfo>
      </Terms>
    </ef17b7cd31e04440926a84c55eb544fd>
    <TaxCatchAll xmlns="d185d393-be2b-4002-b878-ec80d40bf028">
      <Value>21</Value>
      <Value>24</Value>
      <Value>23</Value>
      <Value>7</Value>
    </TaxCatchAll>
    <fca6cb6fd591455fb4b339d962aca840 xmlns="6d1fa80e-b691-426d-986d-84fb7f507361">
      <Terms xmlns="http://schemas.microsoft.com/office/infopath/2007/PartnerControls">
        <TermInfo xmlns="http://schemas.microsoft.com/office/infopath/2007/PartnerControls">
          <TermName xmlns="http://schemas.microsoft.com/office/infopath/2007/PartnerControls">Internal Communications</TermName>
          <TermId xmlns="http://schemas.microsoft.com/office/infopath/2007/PartnerControls">a7c3f4f6-7382-4219-9374-f1078059d373</TermId>
        </TermInfo>
      </Terms>
    </fca6cb6fd591455fb4b339d962aca840>
    <p3893078afd543118903a0d7ddb4eccf xmlns="6d1fa80e-b691-426d-986d-84fb7f507361">
      <Terms xmlns="http://schemas.microsoft.com/office/infopath/2007/PartnerControls">
        <TermInfo xmlns="http://schemas.microsoft.com/office/infopath/2007/PartnerControls">
          <TermName xmlns="http://schemas.microsoft.com/office/infopath/2007/PartnerControls">Corporate Templates</TermName>
          <TermId xmlns="http://schemas.microsoft.com/office/infopath/2007/PartnerControls">4afd4171-cf7f-4367-b050-22ed94fb9e10</TermId>
        </TermInfo>
      </Terms>
    </p3893078afd543118903a0d7ddb4ecc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B4B2AD83F5A74E9DFBA658D0A36D5F" ma:contentTypeVersion="16" ma:contentTypeDescription="Create a new document." ma:contentTypeScope="" ma:versionID="606dcc133b332cb29f648307d1286338">
  <xsd:schema xmlns:xsd="http://www.w3.org/2001/XMLSchema" xmlns:xs="http://www.w3.org/2001/XMLSchema" xmlns:p="http://schemas.microsoft.com/office/2006/metadata/properties" xmlns:ns1="http://schemas.microsoft.com/sharepoint/v3" xmlns:ns2="6d1fa80e-b691-426d-986d-84fb7f507361" xmlns:ns3="d185d393-be2b-4002-b878-ec80d40bf028" xmlns:ns4="http://schemas.microsoft.com/sharepoint/v4" targetNamespace="http://schemas.microsoft.com/office/2006/metadata/properties" ma:root="true" ma:fieldsID="22d80bba7bb84f98b8d912332040e5cd" ns1:_="" ns2:_="" ns3:_="" ns4:_="">
    <xsd:import namespace="http://schemas.microsoft.com/sharepoint/v3"/>
    <xsd:import namespace="6d1fa80e-b691-426d-986d-84fb7f507361"/>
    <xsd:import namespace="d185d393-be2b-4002-b878-ec80d40bf028"/>
    <xsd:import namespace="http://schemas.microsoft.com/sharepoint/v4"/>
    <xsd:element name="properties">
      <xsd:complexType>
        <xsd:sequence>
          <xsd:element name="documentManagement">
            <xsd:complexType>
              <xsd:all>
                <xsd:element ref="ns2:Description0" minOccurs="0"/>
                <xsd:element ref="ns1:PublishingStartDate" minOccurs="0"/>
                <xsd:element ref="ns1:PublishingExpirationDate" minOccurs="0"/>
                <xsd:element ref="ns2:ef17b7cd31e04440926a84c55eb544fd" minOccurs="0"/>
                <xsd:element ref="ns3:TaxCatchAll" minOccurs="0"/>
                <xsd:element ref="ns2:fca6cb6fd591455fb4b339d962aca840" minOccurs="0"/>
                <xsd:element ref="ns2:aa218efc2d014a1297a8cbc4e52c2cdf" minOccurs="0"/>
                <xsd:element ref="ns2:p3893078afd543118903a0d7ddb4eccf"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fa80e-b691-426d-986d-84fb7f507361"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ef17b7cd31e04440926a84c55eb544fd" ma:index="11" nillable="true" ma:taxonomy="true" ma:internalName="ef17b7cd31e04440926a84c55eb544fd" ma:taxonomyFieldName="Topic" ma:displayName="Topic" ma:indexed="true" ma:readOnly="false" ma:default="" ma:fieldId="{ef17b7cd-31e0-4440-926a-84c55eb544fd}" ma:sspId="5f2cdcbe-d935-4fed-9d24-eadd5b2bc4b0" ma:termSetId="976909f9-f438-4bcd-af5f-aee5aa5daf96" ma:anchorId="00000000-0000-0000-0000-000000000000" ma:open="false" ma:isKeyword="false">
      <xsd:complexType>
        <xsd:sequence>
          <xsd:element ref="pc:Terms" minOccurs="0" maxOccurs="1"/>
        </xsd:sequence>
      </xsd:complexType>
    </xsd:element>
    <xsd:element name="fca6cb6fd591455fb4b339d962aca840" ma:index="13" nillable="true" ma:taxonomy="true" ma:internalName="fca6cb6fd591455fb4b339d962aca840" ma:taxonomyFieldName="Owner" ma:displayName="Owner" ma:readOnly="false" ma:default="" ma:fieldId="{fca6cb6f-d591-455f-b4b3-39d962aca840}" ma:sspId="5f2cdcbe-d935-4fed-9d24-eadd5b2bc4b0" ma:termSetId="1eae54de-d952-4f61-9b23-84eb9570fcd7" ma:anchorId="00000000-0000-0000-0000-000000000000" ma:open="false" ma:isKeyword="false">
      <xsd:complexType>
        <xsd:sequence>
          <xsd:element ref="pc:Terms" minOccurs="0" maxOccurs="1"/>
        </xsd:sequence>
      </xsd:complexType>
    </xsd:element>
    <xsd:element name="aa218efc2d014a1297a8cbc4e52c2cdf" ma:index="14" nillable="true" ma:taxonomy="true" ma:internalName="aa218efc2d014a1297a8cbc4e52c2cdf" ma:taxonomyFieldName="Document_x0020_Type" ma:displayName="Document Type" ma:readOnly="false" ma:default="" ma:fieldId="{aa218efc-2d01-4a12-97a8-cbc4e52c2cdf}" ma:sspId="5f2cdcbe-d935-4fed-9d24-eadd5b2bc4b0" ma:termSetId="90794133-a29d-46b8-bbb4-32395134c658" ma:anchorId="00000000-0000-0000-0000-000000000000" ma:open="false" ma:isKeyword="false">
      <xsd:complexType>
        <xsd:sequence>
          <xsd:element ref="pc:Terms" minOccurs="0" maxOccurs="1"/>
        </xsd:sequence>
      </xsd:complexType>
    </xsd:element>
    <xsd:element name="p3893078afd543118903a0d7ddb4eccf" ma:index="15" nillable="true" ma:taxonomy="true" ma:internalName="p3893078afd543118903a0d7ddb4eccf" ma:taxonomyFieldName="Sub_x002d_Topic" ma:displayName="Sub-Topic" ma:default="" ma:fieldId="{93893078-afd5-4311-8903-a0d7ddb4eccf}" ma:taxonomyMulti="true" ma:sspId="5f2cdcbe-d935-4fed-9d24-eadd5b2bc4b0" ma:termSetId="976909f9-f438-4bcd-af5f-aee5aa5daf9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185d393-be2b-4002-b878-ec80d40bf0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057ad3-94fe-42aa-8e3b-2d2b53ab56f0}" ma:internalName="TaxCatchAll" ma:showField="CatchAllData" ma:web="d185d393-be2b-4002-b878-ec80d40bf02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6DA78DC5-3A1A-42AA-BD00-A6ACB777829F}">
  <ds:schemaRefs>
    <ds:schemaRef ds:uri="6d1fa80e-b691-426d-986d-84fb7f507361"/>
    <ds:schemaRef ds:uri="http://schemas.microsoft.com/sharepoint/v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schemas.microsoft.com/sharepoint/v3"/>
    <ds:schemaRef ds:uri="http://schemas.openxmlformats.org/package/2006/metadata/core-properties"/>
    <ds:schemaRef ds:uri="d185d393-be2b-4002-b878-ec80d40bf028"/>
    <ds:schemaRef ds:uri="http://www.w3.org/XML/1998/namespace"/>
  </ds:schemaRefs>
</ds:datastoreItem>
</file>

<file path=customXml/itemProps2.xml><?xml version="1.0" encoding="utf-8"?>
<ds:datastoreItem xmlns:ds="http://schemas.openxmlformats.org/officeDocument/2006/customXml" ds:itemID="{5CAE209D-58CB-40F2-921E-DDC7D90F0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1fa80e-b691-426d-986d-84fb7f507361"/>
    <ds:schemaRef ds:uri="d185d393-be2b-4002-b878-ec80d40bf02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EF7E-1A79-46E2-9BB1-977587397B7F}">
  <ds:schemaRefs>
    <ds:schemaRef ds:uri="http://schemas.microsoft.com/sharepoint/v3/contenttype/forms"/>
  </ds:schemaRefs>
</ds:datastoreItem>
</file>

<file path=customXml/itemProps4.xml><?xml version="1.0" encoding="utf-8"?>
<ds:datastoreItem xmlns:ds="http://schemas.openxmlformats.org/officeDocument/2006/customXml" ds:itemID="{09C42B0D-BDDD-43DD-B0F3-1C7E91F6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2145</Words>
  <Characters>12230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 Loader</dc:creator>
  <cp:lastModifiedBy>Ashlee Govett</cp:lastModifiedBy>
  <cp:revision>2</cp:revision>
  <cp:lastPrinted>2017-07-31T02:03:00Z</cp:lastPrinted>
  <dcterms:created xsi:type="dcterms:W3CDTF">2017-09-25T05:10:00Z</dcterms:created>
  <dcterms:modified xsi:type="dcterms:W3CDTF">2017-09-25T05:10:00Z</dcterms:modified>
  <cp:category>Confidentiality, I#, 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opic">
    <vt:lpwstr>24;#Corporate Templates|4afd4171-cf7f-4367-b050-22ed94fb9e10</vt:lpwstr>
  </property>
  <property fmtid="{D5CDD505-2E9C-101B-9397-08002B2CF9AE}" pid="3" name="Topic">
    <vt:lpwstr>23;#Communications and Information Management|0fd376d4-93ab-4b61-9e34-9ef9f5118c64</vt:lpwstr>
  </property>
  <property fmtid="{D5CDD505-2E9C-101B-9397-08002B2CF9AE}" pid="4" name="Service Area">
    <vt:lpwstr>20;#Shared Services SA|a1628c30-901e-4a4c-84c1-4cad875759a3</vt:lpwstr>
  </property>
  <property fmtid="{D5CDD505-2E9C-101B-9397-08002B2CF9AE}" pid="5" name="Owner">
    <vt:lpwstr>21;#Internal Communications|a7c3f4f6-7382-4219-9374-f1078059d373</vt:lpwstr>
  </property>
  <property fmtid="{D5CDD505-2E9C-101B-9397-08002B2CF9AE}" pid="6" name="ContentTypeId">
    <vt:lpwstr>0x010100CAB4B2AD83F5A74E9DFBA658D0A36D5F</vt:lpwstr>
  </property>
  <property fmtid="{D5CDD505-2E9C-101B-9397-08002B2CF9AE}" pid="7" name="Document Type">
    <vt:lpwstr>7;#Template|72d41b36-4258-4788-9a78-e5452fe116b3</vt:lpwstr>
  </property>
</Properties>
</file>