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0959777"/>
        <w:docPartObj>
          <w:docPartGallery w:val="Cover Pages"/>
          <w:docPartUnique/>
        </w:docPartObj>
      </w:sdtPr>
      <w:sdtEndPr/>
      <w:sdtContent>
        <w:p w:rsidR="008110FE" w:rsidRDefault="008110FE"/>
        <w:p w:rsidR="008110FE" w:rsidRDefault="008110FE"/>
        <w:p w:rsidR="008110FE" w:rsidRPr="008110FE" w:rsidRDefault="008110FE" w:rsidP="008110FE">
          <w:pPr>
            <w:jc w:val="center"/>
            <w:rPr>
              <w:b/>
              <w:color w:val="2F5496" w:themeColor="accent1" w:themeShade="BF"/>
              <w:sz w:val="72"/>
            </w:rPr>
          </w:pPr>
          <w:r w:rsidRPr="008110FE">
            <w:rPr>
              <w:b/>
              <w:color w:val="2F5496" w:themeColor="accent1" w:themeShade="BF"/>
              <w:sz w:val="72"/>
            </w:rPr>
            <w:t>Arts and Culture Plan</w:t>
          </w:r>
        </w:p>
        <w:p w:rsidR="008110FE" w:rsidRPr="008110FE" w:rsidRDefault="008110FE" w:rsidP="008110FE">
          <w:pPr>
            <w:jc w:val="center"/>
            <w:rPr>
              <w:b/>
              <w:color w:val="2F5496" w:themeColor="accent1" w:themeShade="BF"/>
              <w:sz w:val="72"/>
            </w:rPr>
          </w:pPr>
          <w:r w:rsidRPr="008110FE">
            <w:rPr>
              <w:b/>
              <w:color w:val="2F5496" w:themeColor="accent1" w:themeShade="BF"/>
              <w:sz w:val="72"/>
            </w:rPr>
            <w:t>South Australia</w:t>
          </w:r>
        </w:p>
        <w:p w:rsidR="008110FE" w:rsidRPr="008110FE" w:rsidRDefault="008110FE" w:rsidP="008110FE">
          <w:pPr>
            <w:jc w:val="center"/>
            <w:rPr>
              <w:b/>
              <w:color w:val="2F5496" w:themeColor="accent1" w:themeShade="BF"/>
              <w:sz w:val="72"/>
            </w:rPr>
          </w:pPr>
          <w:r w:rsidRPr="008110FE">
            <w:rPr>
              <w:b/>
              <w:color w:val="2F5496" w:themeColor="accent1" w:themeShade="BF"/>
              <w:sz w:val="72"/>
            </w:rPr>
            <w:t>2019 – 2024</w:t>
          </w:r>
        </w:p>
        <w:p w:rsidR="008110FE" w:rsidRPr="008110FE" w:rsidRDefault="008110FE" w:rsidP="008110FE">
          <w:pPr>
            <w:jc w:val="center"/>
            <w:rPr>
              <w:b/>
              <w:color w:val="2F5496" w:themeColor="accent1" w:themeShade="BF"/>
            </w:rPr>
          </w:pPr>
        </w:p>
        <w:p w:rsidR="007C5509" w:rsidRPr="007C5509" w:rsidRDefault="008110FE" w:rsidP="008110FE">
          <w:pPr>
            <w:jc w:val="center"/>
          </w:pPr>
          <w:r w:rsidRPr="008110FE">
            <w:rPr>
              <w:b/>
              <w:color w:val="2F5496" w:themeColor="accent1" w:themeShade="BF"/>
              <w:sz w:val="36"/>
            </w:rPr>
            <w:t>Recommendations and the government’s response</w:t>
          </w:r>
          <w:r w:rsidR="00BD0967">
            <w:br w:type="page"/>
          </w:r>
        </w:p>
      </w:sdtContent>
    </w:sdt>
    <w:p w:rsidR="008110FE" w:rsidRDefault="007E3076" w:rsidP="007E3076">
      <w:pPr>
        <w:rPr>
          <w:b/>
          <w:sz w:val="28"/>
        </w:rPr>
      </w:pPr>
      <w:r w:rsidRPr="007E3076">
        <w:rPr>
          <w:b/>
          <w:sz w:val="28"/>
        </w:rPr>
        <w:lastRenderedPageBreak/>
        <w:t>Table of contents</w:t>
      </w:r>
      <w:r w:rsidR="007C5509" w:rsidRPr="007E3076">
        <w:rPr>
          <w:b/>
          <w:sz w:val="28"/>
        </w:rPr>
        <w:t xml:space="preserve"> </w:t>
      </w:r>
    </w:p>
    <w:p w:rsidR="008110FE" w:rsidRPr="007E3076" w:rsidRDefault="008110FE" w:rsidP="007E3076">
      <w:pPr>
        <w:rPr>
          <w:b/>
          <w:sz w:val="28"/>
        </w:rPr>
      </w:pPr>
    </w:p>
    <w:p w:rsidR="008110FE" w:rsidRDefault="007E3076" w:rsidP="008110FE">
      <w:pPr>
        <w:pStyle w:val="TOC1"/>
        <w:spacing w:after="240"/>
        <w:rPr>
          <w:rFonts w:asciiTheme="minorHAnsi" w:eastAsiaTheme="minorEastAsia" w:hAnsiTheme="minorHAnsi" w:cstheme="minorBidi"/>
          <w:noProof/>
          <w:sz w:val="22"/>
          <w:lang w:eastAsia="en-AU"/>
        </w:rPr>
      </w:pPr>
      <w:r>
        <w:fldChar w:fldCharType="begin"/>
      </w:r>
      <w:r>
        <w:instrText xml:space="preserve"> TOC \t "Heading 1 Heading 1,1,Heading 2 Heading 2,2" </w:instrText>
      </w:r>
      <w:r>
        <w:fldChar w:fldCharType="separate"/>
      </w:r>
      <w:r w:rsidR="008110FE">
        <w:rPr>
          <w:noProof/>
        </w:rPr>
        <w:t>1. Ensure that the arts, cultural and creative sectors in South Australia thrive                                                      throughout the year</w:t>
      </w:r>
      <w:r w:rsidR="008110FE">
        <w:rPr>
          <w:noProof/>
        </w:rPr>
        <w:tab/>
      </w:r>
      <w:r w:rsidR="008110FE">
        <w:rPr>
          <w:noProof/>
        </w:rPr>
        <w:fldChar w:fldCharType="begin"/>
      </w:r>
      <w:r w:rsidR="008110FE">
        <w:rPr>
          <w:noProof/>
        </w:rPr>
        <w:instrText xml:space="preserve"> PAGEREF _Toc17814407 \h </w:instrText>
      </w:r>
      <w:r w:rsidR="008110FE">
        <w:rPr>
          <w:noProof/>
        </w:rPr>
      </w:r>
      <w:r w:rsidR="008110FE">
        <w:rPr>
          <w:noProof/>
        </w:rPr>
        <w:fldChar w:fldCharType="separate"/>
      </w:r>
      <w:r w:rsidR="00D8043C">
        <w:rPr>
          <w:noProof/>
        </w:rPr>
        <w:t>2</w:t>
      </w:r>
      <w:r w:rsidR="008110FE">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rPr>
        <w:t xml:space="preserve">2. </w:t>
      </w:r>
      <w:r>
        <w:rPr>
          <w:noProof/>
          <w:lang w:eastAsia="en-AU"/>
        </w:rPr>
        <w:t>Review grant programs</w:t>
      </w:r>
      <w:r>
        <w:rPr>
          <w:noProof/>
        </w:rPr>
        <w:tab/>
      </w:r>
      <w:r>
        <w:rPr>
          <w:noProof/>
        </w:rPr>
        <w:fldChar w:fldCharType="begin"/>
      </w:r>
      <w:r>
        <w:rPr>
          <w:noProof/>
        </w:rPr>
        <w:instrText xml:space="preserve"> PAGEREF _Toc17814408 \h </w:instrText>
      </w:r>
      <w:r>
        <w:rPr>
          <w:noProof/>
        </w:rPr>
      </w:r>
      <w:r>
        <w:rPr>
          <w:noProof/>
        </w:rPr>
        <w:fldChar w:fldCharType="separate"/>
      </w:r>
      <w:r w:rsidR="00D8043C">
        <w:rPr>
          <w:noProof/>
        </w:rPr>
        <w:t>4</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rPr>
        <w:t xml:space="preserve">3. </w:t>
      </w:r>
      <w:r>
        <w:rPr>
          <w:noProof/>
          <w:lang w:eastAsia="en-AU"/>
        </w:rPr>
        <w:t>Consider regional and rural South Australia</w:t>
      </w:r>
      <w:r>
        <w:rPr>
          <w:noProof/>
        </w:rPr>
        <w:tab/>
      </w:r>
      <w:r>
        <w:rPr>
          <w:noProof/>
        </w:rPr>
        <w:fldChar w:fldCharType="begin"/>
      </w:r>
      <w:r>
        <w:rPr>
          <w:noProof/>
        </w:rPr>
        <w:instrText xml:space="preserve"> PAGEREF _Toc17814409 \h </w:instrText>
      </w:r>
      <w:r>
        <w:rPr>
          <w:noProof/>
        </w:rPr>
      </w:r>
      <w:r>
        <w:rPr>
          <w:noProof/>
        </w:rPr>
        <w:fldChar w:fldCharType="separate"/>
      </w:r>
      <w:r w:rsidR="00D8043C">
        <w:rPr>
          <w:noProof/>
        </w:rPr>
        <w:t>6</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rPr>
        <w:t xml:space="preserve">4. </w:t>
      </w:r>
      <w:r>
        <w:rPr>
          <w:noProof/>
          <w:lang w:eastAsia="en-AU"/>
        </w:rPr>
        <w:t>Develop and deliver a state-wide Digital Access Plan</w:t>
      </w:r>
      <w:r>
        <w:rPr>
          <w:noProof/>
        </w:rPr>
        <w:tab/>
      </w:r>
      <w:r>
        <w:rPr>
          <w:noProof/>
        </w:rPr>
        <w:fldChar w:fldCharType="begin"/>
      </w:r>
      <w:r>
        <w:rPr>
          <w:noProof/>
        </w:rPr>
        <w:instrText xml:space="preserve"> PAGEREF _Toc17814410 \h </w:instrText>
      </w:r>
      <w:r>
        <w:rPr>
          <w:noProof/>
        </w:rPr>
      </w:r>
      <w:r>
        <w:rPr>
          <w:noProof/>
        </w:rPr>
        <w:fldChar w:fldCharType="separate"/>
      </w:r>
      <w:r w:rsidR="00D8043C">
        <w:rPr>
          <w:noProof/>
        </w:rPr>
        <w:t>7</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5. Ensure the Adelaide Festival Centre Trust’s venues excel</w:t>
      </w:r>
      <w:r>
        <w:rPr>
          <w:noProof/>
        </w:rPr>
        <w:tab/>
      </w:r>
      <w:r>
        <w:rPr>
          <w:noProof/>
        </w:rPr>
        <w:fldChar w:fldCharType="begin"/>
      </w:r>
      <w:r>
        <w:rPr>
          <w:noProof/>
        </w:rPr>
        <w:instrText xml:space="preserve"> PAGEREF _Toc17814411 \h </w:instrText>
      </w:r>
      <w:r>
        <w:rPr>
          <w:noProof/>
        </w:rPr>
      </w:r>
      <w:r>
        <w:rPr>
          <w:noProof/>
        </w:rPr>
        <w:fldChar w:fldCharType="separate"/>
      </w:r>
      <w:r w:rsidR="00D8043C">
        <w:rPr>
          <w:noProof/>
        </w:rPr>
        <w:t>8</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6. Examine arts governance</w:t>
      </w:r>
      <w:r>
        <w:rPr>
          <w:noProof/>
        </w:rPr>
        <w:tab/>
      </w:r>
      <w:r>
        <w:rPr>
          <w:noProof/>
        </w:rPr>
        <w:fldChar w:fldCharType="begin"/>
      </w:r>
      <w:r>
        <w:rPr>
          <w:noProof/>
        </w:rPr>
        <w:instrText xml:space="preserve"> PAGEREF _Toc17814412 \h </w:instrText>
      </w:r>
      <w:r>
        <w:rPr>
          <w:noProof/>
        </w:rPr>
      </w:r>
      <w:r>
        <w:rPr>
          <w:noProof/>
        </w:rPr>
        <w:fldChar w:fldCharType="separate"/>
      </w:r>
      <w:r w:rsidR="00D8043C">
        <w:rPr>
          <w:noProof/>
        </w:rPr>
        <w:t>9</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7. Ensure a whole-of-government approach</w:t>
      </w:r>
      <w:r>
        <w:rPr>
          <w:noProof/>
        </w:rPr>
        <w:tab/>
      </w:r>
      <w:r>
        <w:rPr>
          <w:noProof/>
        </w:rPr>
        <w:fldChar w:fldCharType="begin"/>
      </w:r>
      <w:r>
        <w:rPr>
          <w:noProof/>
        </w:rPr>
        <w:instrText xml:space="preserve"> PAGEREF _Toc17814413 \h </w:instrText>
      </w:r>
      <w:r>
        <w:rPr>
          <w:noProof/>
        </w:rPr>
      </w:r>
      <w:r>
        <w:rPr>
          <w:noProof/>
        </w:rPr>
        <w:fldChar w:fldCharType="separate"/>
      </w:r>
      <w:r w:rsidR="00D8043C">
        <w:rPr>
          <w:noProof/>
        </w:rPr>
        <w:t>11</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8. Explore new partnerships and collaborations</w:t>
      </w:r>
      <w:r>
        <w:rPr>
          <w:noProof/>
        </w:rPr>
        <w:tab/>
      </w:r>
      <w:r>
        <w:rPr>
          <w:noProof/>
        </w:rPr>
        <w:fldChar w:fldCharType="begin"/>
      </w:r>
      <w:r>
        <w:rPr>
          <w:noProof/>
        </w:rPr>
        <w:instrText xml:space="preserve"> PAGEREF _Toc17814414 \h </w:instrText>
      </w:r>
      <w:r>
        <w:rPr>
          <w:noProof/>
        </w:rPr>
      </w:r>
      <w:r>
        <w:rPr>
          <w:noProof/>
        </w:rPr>
        <w:fldChar w:fldCharType="separate"/>
      </w:r>
      <w:r w:rsidR="00D8043C">
        <w:rPr>
          <w:noProof/>
        </w:rPr>
        <w:t>12</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9. Aboriginal arts and culture</w:t>
      </w:r>
      <w:r>
        <w:rPr>
          <w:noProof/>
        </w:rPr>
        <w:tab/>
      </w:r>
      <w:r>
        <w:rPr>
          <w:noProof/>
        </w:rPr>
        <w:fldChar w:fldCharType="begin"/>
      </w:r>
      <w:r>
        <w:rPr>
          <w:noProof/>
        </w:rPr>
        <w:instrText xml:space="preserve"> PAGEREF _Toc17814415 \h </w:instrText>
      </w:r>
      <w:r>
        <w:rPr>
          <w:noProof/>
        </w:rPr>
      </w:r>
      <w:r>
        <w:rPr>
          <w:noProof/>
        </w:rPr>
        <w:fldChar w:fldCharType="separate"/>
      </w:r>
      <w:r w:rsidR="00D8043C">
        <w:rPr>
          <w:noProof/>
        </w:rPr>
        <w:t>13</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10. Education in the arts</w:t>
      </w:r>
      <w:r>
        <w:rPr>
          <w:noProof/>
        </w:rPr>
        <w:tab/>
      </w:r>
      <w:r>
        <w:rPr>
          <w:noProof/>
        </w:rPr>
        <w:fldChar w:fldCharType="begin"/>
      </w:r>
      <w:r>
        <w:rPr>
          <w:noProof/>
        </w:rPr>
        <w:instrText xml:space="preserve"> PAGEREF _Toc17814416 \h </w:instrText>
      </w:r>
      <w:r>
        <w:rPr>
          <w:noProof/>
        </w:rPr>
      </w:r>
      <w:r>
        <w:rPr>
          <w:noProof/>
        </w:rPr>
        <w:fldChar w:fldCharType="separate"/>
      </w:r>
      <w:r w:rsidR="00D8043C">
        <w:rPr>
          <w:noProof/>
        </w:rPr>
        <w:t>14</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11. International engagement</w:t>
      </w:r>
      <w:r>
        <w:rPr>
          <w:noProof/>
        </w:rPr>
        <w:tab/>
      </w:r>
      <w:r>
        <w:rPr>
          <w:noProof/>
        </w:rPr>
        <w:fldChar w:fldCharType="begin"/>
      </w:r>
      <w:r>
        <w:rPr>
          <w:noProof/>
        </w:rPr>
        <w:instrText xml:space="preserve"> PAGEREF _Toc17814417 \h </w:instrText>
      </w:r>
      <w:r>
        <w:rPr>
          <w:noProof/>
        </w:rPr>
      </w:r>
      <w:r>
        <w:rPr>
          <w:noProof/>
        </w:rPr>
        <w:fldChar w:fldCharType="separate"/>
      </w:r>
      <w:r w:rsidR="00D8043C">
        <w:rPr>
          <w:noProof/>
        </w:rPr>
        <w:t>15</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12. Storage for the collections</w:t>
      </w:r>
      <w:r>
        <w:rPr>
          <w:noProof/>
        </w:rPr>
        <w:tab/>
      </w:r>
      <w:r>
        <w:rPr>
          <w:noProof/>
        </w:rPr>
        <w:fldChar w:fldCharType="begin"/>
      </w:r>
      <w:r>
        <w:rPr>
          <w:noProof/>
        </w:rPr>
        <w:instrText xml:space="preserve"> PAGEREF _Toc17814418 \h </w:instrText>
      </w:r>
      <w:r>
        <w:rPr>
          <w:noProof/>
        </w:rPr>
      </w:r>
      <w:r>
        <w:rPr>
          <w:noProof/>
        </w:rPr>
        <w:fldChar w:fldCharType="separate"/>
      </w:r>
      <w:r w:rsidR="00D8043C">
        <w:rPr>
          <w:noProof/>
        </w:rPr>
        <w:t>16</w:t>
      </w:r>
      <w:r>
        <w:rPr>
          <w:noProof/>
        </w:rPr>
        <w:fldChar w:fldCharType="end"/>
      </w:r>
    </w:p>
    <w:p w:rsidR="008110FE" w:rsidRDefault="008110FE" w:rsidP="008110FE">
      <w:pPr>
        <w:pStyle w:val="TOC1"/>
        <w:spacing w:after="240"/>
        <w:rPr>
          <w:rFonts w:asciiTheme="minorHAnsi" w:eastAsiaTheme="minorEastAsia" w:hAnsiTheme="minorHAnsi" w:cstheme="minorBidi"/>
          <w:noProof/>
          <w:sz w:val="22"/>
          <w:lang w:eastAsia="en-AU"/>
        </w:rPr>
      </w:pPr>
      <w:r>
        <w:rPr>
          <w:noProof/>
          <w:lang w:eastAsia="en-AU"/>
        </w:rPr>
        <w:t>13. Evaluation and measurement</w:t>
      </w:r>
      <w:r>
        <w:rPr>
          <w:noProof/>
        </w:rPr>
        <w:tab/>
      </w:r>
      <w:r>
        <w:rPr>
          <w:noProof/>
        </w:rPr>
        <w:fldChar w:fldCharType="begin"/>
      </w:r>
      <w:r>
        <w:rPr>
          <w:noProof/>
        </w:rPr>
        <w:instrText xml:space="preserve"> PAGEREF _Toc17814419 \h </w:instrText>
      </w:r>
      <w:r>
        <w:rPr>
          <w:noProof/>
        </w:rPr>
      </w:r>
      <w:r>
        <w:rPr>
          <w:noProof/>
        </w:rPr>
        <w:fldChar w:fldCharType="separate"/>
      </w:r>
      <w:r w:rsidR="00D8043C">
        <w:rPr>
          <w:noProof/>
        </w:rPr>
        <w:t>17</w:t>
      </w:r>
      <w:r>
        <w:rPr>
          <w:noProof/>
        </w:rPr>
        <w:fldChar w:fldCharType="end"/>
      </w:r>
    </w:p>
    <w:p w:rsidR="00BD0967" w:rsidRDefault="007E3076" w:rsidP="008110FE">
      <w:pPr>
        <w:spacing w:after="240"/>
      </w:pPr>
      <w:r>
        <w:fldChar w:fldCharType="end"/>
      </w:r>
      <w:r w:rsidR="00BD0967">
        <w:br w:type="page"/>
      </w:r>
      <w:bookmarkStart w:id="0" w:name="_GoBack"/>
      <w:bookmarkEnd w:id="0"/>
    </w:p>
    <w:p w:rsidR="008110FE" w:rsidRDefault="008110FE" w:rsidP="008110FE">
      <w:pPr>
        <w:pStyle w:val="Heading1Heading1"/>
      </w:pPr>
      <w:bookmarkStart w:id="1" w:name="_Toc17814407"/>
      <w:r>
        <w:lastRenderedPageBreak/>
        <w:t xml:space="preserve">1. </w:t>
      </w:r>
      <w:r w:rsidRPr="008110FE">
        <w:t>Ensure that the arts, cultural and creative sectors in South Australia thrive throughout the year</w:t>
      </w:r>
      <w:bookmarkEnd w:id="1"/>
    </w:p>
    <w:p w:rsidR="00363483" w:rsidRDefault="00A122B7" w:rsidP="00363483">
      <w:r>
        <w:t xml:space="preserve">Objective: </w:t>
      </w:r>
      <w:r w:rsidRPr="00A122B7">
        <w:t>ensure that the arts, cultural and creative sectors in South Australia thrive throughout the year</w:t>
      </w:r>
      <w:r>
        <w:t>.</w:t>
      </w:r>
    </w:p>
    <w:p w:rsidR="00A122B7" w:rsidRPr="00A122B7" w:rsidRDefault="00A122B7" w:rsidP="00363483">
      <w:pPr>
        <w:rPr>
          <w:b/>
        </w:rPr>
      </w:pPr>
      <w:r w:rsidRPr="00A122B7">
        <w:rPr>
          <w:b/>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t>1.1 Develop an annual schedule of festivals for South Australia.</w:t>
            </w:r>
          </w:p>
        </w:tc>
      </w:tr>
      <w:tr w:rsidR="008110FE" w:rsidTr="008110FE">
        <w:tc>
          <w:tcPr>
            <w:tcW w:w="9322" w:type="dxa"/>
          </w:tcPr>
          <w:p w:rsidR="008110FE" w:rsidRDefault="008110FE" w:rsidP="008110FE">
            <w:pPr>
              <w:spacing w:before="120" w:after="240"/>
            </w:pPr>
            <w:r w:rsidRPr="008110FE">
              <w:t>Accepted - In collaboration with key stakeholders, we will develop a festival schedule for South Australia.</w:t>
            </w:r>
          </w:p>
          <w:p w:rsidR="00D8043C" w:rsidRPr="00D8043C" w:rsidRDefault="00D8043C" w:rsidP="00D8043C">
            <w:pPr>
              <w:spacing w:before="120" w:after="240"/>
            </w:pPr>
            <w:r w:rsidRPr="00D8043C">
              <w:t xml:space="preserve">Following our investigation of national and international models and discussions with key stakeholders, we are collaborating with the South Australian Tourism Commission to utilise their What’s On Calendar on </w:t>
            </w:r>
            <w:hyperlink r:id="rId8" w:history="1">
              <w:r w:rsidRPr="00D8043C">
                <w:rPr>
                  <w:rStyle w:val="Hyperlink"/>
                </w:rPr>
                <w:t>southaustralia.com</w:t>
              </w:r>
            </w:hyperlink>
            <w:r w:rsidRPr="00D8043C">
              <w:t xml:space="preserve"> to increase the profile of arts and cultural events in South Australia.</w:t>
            </w:r>
          </w:p>
          <w:p w:rsidR="00D8043C" w:rsidRPr="00D8043C" w:rsidRDefault="00D8043C" w:rsidP="00D8043C">
            <w:pPr>
              <w:spacing w:before="120" w:after="240"/>
            </w:pPr>
            <w:r w:rsidRPr="00D8043C">
              <w:t xml:space="preserve">The What’s </w:t>
            </w:r>
            <w:proofErr w:type="gramStart"/>
            <w:r w:rsidRPr="00D8043C">
              <w:t>On</w:t>
            </w:r>
            <w:proofErr w:type="gramEnd"/>
            <w:r w:rsidRPr="00D8043C">
              <w:t xml:space="preserve"> Calendar is accessible year round for sector usage for all activities, as well as having a significant online profile to support visibility and accessibility for users.</w:t>
            </w:r>
          </w:p>
          <w:p w:rsidR="00D8043C" w:rsidRPr="00D8043C" w:rsidRDefault="00D8043C" w:rsidP="00D8043C">
            <w:pPr>
              <w:spacing w:before="120" w:after="240"/>
            </w:pPr>
            <w:r w:rsidRPr="00D8043C">
              <w:t xml:space="preserve">Eligible activity for inclusion has been extended to include virtual businesses and events, supporting the increased online activity by the sector with the impact of COVID-19. </w:t>
            </w:r>
          </w:p>
          <w:p w:rsidR="00D8043C" w:rsidRPr="00D8043C" w:rsidRDefault="00D8043C" w:rsidP="00D8043C">
            <w:pPr>
              <w:spacing w:before="120" w:after="240"/>
            </w:pPr>
            <w:r w:rsidRPr="00D8043C">
              <w:t xml:space="preserve">Arts South Australia and the South Australian Tourism Commission provided the opportunity for training to key arts and culture organisations to optimise the utilisation of the calendar. </w:t>
            </w:r>
          </w:p>
          <w:p w:rsidR="009D4D25" w:rsidRPr="006B70E6" w:rsidRDefault="009D4D25" w:rsidP="009D4D25">
            <w:pPr>
              <w:spacing w:before="120" w:after="240"/>
            </w:pPr>
          </w:p>
        </w:tc>
      </w:tr>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t>1.2 Develop a space activation plan for use by independent artists and the small to medium sector to optimise existing venues and spaces across Adelaide and regional centres.</w:t>
            </w:r>
          </w:p>
        </w:tc>
      </w:tr>
      <w:tr w:rsidR="008110FE" w:rsidTr="008110FE">
        <w:tc>
          <w:tcPr>
            <w:tcW w:w="9322" w:type="dxa"/>
          </w:tcPr>
          <w:p w:rsidR="008110FE" w:rsidRDefault="008110FE" w:rsidP="008110FE">
            <w:pPr>
              <w:spacing w:before="120" w:after="240"/>
              <w:rPr>
                <w:lang w:eastAsia="en-AU"/>
              </w:rPr>
            </w:pPr>
            <w:r w:rsidRPr="001B3877">
              <w:rPr>
                <w:lang w:eastAsia="en-AU"/>
              </w:rPr>
              <w:t>Accepted - Working with sector leads, we will identify existing needs and future options for an optimal use space activation plan for independent artists and small to medium sector organisations.</w:t>
            </w:r>
          </w:p>
          <w:p w:rsidR="00D8043C" w:rsidRPr="00D8043C" w:rsidRDefault="00D8043C" w:rsidP="00D8043C">
            <w:pPr>
              <w:spacing w:before="120" w:after="240"/>
              <w:rPr>
                <w:lang w:eastAsia="en-AU"/>
              </w:rPr>
            </w:pPr>
            <w:r w:rsidRPr="00D8043C">
              <w:rPr>
                <w:lang w:eastAsia="en-AU"/>
              </w:rPr>
              <w:t xml:space="preserve">There are several initiatives being undertaken by government and the sector to remove barriers and optimise the use of existing venues and spaces in response to this recommendation and the impact of COVID-19 on sector activity. </w:t>
            </w:r>
          </w:p>
          <w:p w:rsidR="00D8043C" w:rsidRPr="00D8043C" w:rsidRDefault="00D8043C" w:rsidP="00D8043C">
            <w:pPr>
              <w:spacing w:before="120" w:after="240"/>
              <w:rPr>
                <w:lang w:eastAsia="en-AU"/>
              </w:rPr>
            </w:pPr>
            <w:r w:rsidRPr="00D8043C">
              <w:rPr>
                <w:lang w:eastAsia="en-AU"/>
              </w:rPr>
              <w:t>These initiatives consider venue modifications to improve fit for purpose, reduction in venue costs to reduce financial barriers, venue activation and partnerships to support venue access and utilisation.</w:t>
            </w:r>
          </w:p>
          <w:p w:rsidR="00D8043C" w:rsidRPr="00D8043C" w:rsidRDefault="00D8043C" w:rsidP="00D8043C">
            <w:pPr>
              <w:spacing w:before="120" w:after="240"/>
              <w:rPr>
                <w:lang w:eastAsia="en-AU"/>
              </w:rPr>
            </w:pPr>
            <w:r w:rsidRPr="00D8043C">
              <w:rPr>
                <w:lang w:eastAsia="en-AU"/>
              </w:rPr>
              <w:t>This work, plus our review of existing venue infrastructure and sector needs survey is informing the Space Activation Plan, as well as supporting further exploration of the need for additional theatre capacity for recommendation 1.5, the black box theatre.</w:t>
            </w:r>
          </w:p>
          <w:p w:rsidR="00D8043C" w:rsidRPr="00D8043C" w:rsidRDefault="00D8043C" w:rsidP="00D8043C">
            <w:pPr>
              <w:spacing w:before="120" w:after="240"/>
              <w:rPr>
                <w:lang w:eastAsia="en-AU"/>
              </w:rPr>
            </w:pPr>
            <w:r w:rsidRPr="00D8043C">
              <w:rPr>
                <w:lang w:eastAsia="en-AU"/>
              </w:rPr>
              <w:t>Some key initiatives include:</w:t>
            </w:r>
          </w:p>
          <w:p w:rsidR="00D8043C" w:rsidRPr="00D8043C" w:rsidRDefault="00D8043C" w:rsidP="00D8043C">
            <w:pPr>
              <w:pStyle w:val="ListParagraph"/>
              <w:numPr>
                <w:ilvl w:val="0"/>
                <w:numId w:val="18"/>
              </w:numPr>
              <w:spacing w:before="120" w:after="240"/>
              <w:rPr>
                <w:lang w:eastAsia="en-AU"/>
              </w:rPr>
            </w:pPr>
            <w:r w:rsidRPr="00D8043C">
              <w:rPr>
                <w:lang w:eastAsia="en-AU"/>
              </w:rPr>
              <w:t xml:space="preserve">government funding for venue modifications at the Queens Theatre, Adelaide to expand its flexible and adaptive use; Chaffey Theatre, Renmark to complete fire compliance works and installation of a passenger lift to provide greater accessibility; and the conversion of the old </w:t>
            </w:r>
            <w:proofErr w:type="spellStart"/>
            <w:r w:rsidRPr="00D8043C">
              <w:rPr>
                <w:lang w:eastAsia="en-AU"/>
              </w:rPr>
              <w:t>Varcoe</w:t>
            </w:r>
            <w:proofErr w:type="spellEnd"/>
            <w:r w:rsidRPr="00D8043C">
              <w:rPr>
                <w:lang w:eastAsia="en-AU"/>
              </w:rPr>
              <w:t xml:space="preserve"> Foundry building adjacent to Sir Robert </w:t>
            </w:r>
            <w:r w:rsidRPr="00D8043C">
              <w:rPr>
                <w:lang w:eastAsia="en-AU"/>
              </w:rPr>
              <w:lastRenderedPageBreak/>
              <w:t>Helpmann Theatre, Mount Gambier, into a year round artist hub and flexible performance space</w:t>
            </w:r>
          </w:p>
          <w:p w:rsidR="00D8043C" w:rsidRPr="00D8043C" w:rsidRDefault="00D8043C" w:rsidP="00D8043C">
            <w:pPr>
              <w:pStyle w:val="ListParagraph"/>
              <w:numPr>
                <w:ilvl w:val="0"/>
                <w:numId w:val="18"/>
              </w:numPr>
              <w:spacing w:before="120" w:after="240"/>
              <w:rPr>
                <w:i/>
                <w:lang w:eastAsia="en-AU"/>
              </w:rPr>
            </w:pPr>
            <w:r w:rsidRPr="00D8043C">
              <w:rPr>
                <w:lang w:eastAsia="en-AU"/>
              </w:rPr>
              <w:t xml:space="preserve">the Adelaide Festival Centre Trust’s (AFCT) </w:t>
            </w:r>
            <w:r w:rsidRPr="00D8043C">
              <w:rPr>
                <w:i/>
                <w:lang w:eastAsia="en-AU"/>
              </w:rPr>
              <w:t xml:space="preserve">Open Space </w:t>
            </w:r>
            <w:r w:rsidRPr="00D8043C">
              <w:rPr>
                <w:lang w:eastAsia="en-AU"/>
              </w:rPr>
              <w:t>program</w:t>
            </w:r>
            <w:r w:rsidRPr="00D8043C">
              <w:rPr>
                <w:i/>
                <w:lang w:eastAsia="en-AU"/>
              </w:rPr>
              <w:t xml:space="preserve"> </w:t>
            </w:r>
            <w:r w:rsidRPr="00D8043C">
              <w:rPr>
                <w:lang w:eastAsia="en-AU"/>
              </w:rPr>
              <w:t>to support independent artists, community groups and the small to medium sector to increase use of the Space Theatre and reduce costs, supported by funding from Arts South Australia. Further, the AFCT took a leadership role by waiving rental costs to all its venues, including Her Majesty’s Theatre, to South Australian home companies and the small to medium sector from 1 July 2020 – 31 December 2020. Full utilities and labour were still paid by the hirer to ensure recovery of hard costs and provide opportunities to employ AFCT’s casual workers, most of whom had only limited work since March 2020</w:t>
            </w:r>
          </w:p>
          <w:p w:rsidR="009D4D25" w:rsidRPr="00D8043C" w:rsidRDefault="00D8043C" w:rsidP="00D8043C">
            <w:pPr>
              <w:pStyle w:val="ListParagraph"/>
              <w:numPr>
                <w:ilvl w:val="0"/>
                <w:numId w:val="18"/>
              </w:numPr>
              <w:spacing w:before="120" w:after="240"/>
              <w:rPr>
                <w:lang w:eastAsia="en-AU"/>
              </w:rPr>
            </w:pPr>
            <w:r w:rsidRPr="00D8043C">
              <w:rPr>
                <w:lang w:eastAsia="en-AU"/>
              </w:rPr>
              <w:t>Adelaide Fringe 2021 venue activation in response to COVID-19 supported by funding from the government’s Arts Recovery Fund. This includes grants for South Australian artists and producers for venue and delivery costs to provide a level of risk mitigation, as well as support for COVID-safe delivery for three major hubs: Gluttony, Garden of Unearthly Delights and the Royal Croquet Club.</w:t>
            </w:r>
          </w:p>
        </w:tc>
      </w:tr>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lastRenderedPageBreak/>
              <w:t>1.3 Investigate options and implement a new, cost-effective, ‘consortium’ ticketing system to support the small to medium sector and other arts organisations (including Country Arts SA) who are not serviced by existing systems.</w:t>
            </w:r>
          </w:p>
        </w:tc>
      </w:tr>
      <w:tr w:rsidR="008110FE" w:rsidTr="008110FE">
        <w:tc>
          <w:tcPr>
            <w:tcW w:w="9322" w:type="dxa"/>
          </w:tcPr>
          <w:p w:rsidR="008110FE" w:rsidRDefault="008110FE" w:rsidP="008110FE">
            <w:pPr>
              <w:spacing w:before="120" w:after="240"/>
              <w:rPr>
                <w:lang w:eastAsia="en-AU"/>
              </w:rPr>
            </w:pPr>
            <w:r w:rsidRPr="001B3877">
              <w:rPr>
                <w:lang w:eastAsia="en-AU"/>
              </w:rPr>
              <w:t xml:space="preserve">Supported in-principle - We will engage with key sector stakeholders to investigate the need and options for a </w:t>
            </w:r>
            <w:proofErr w:type="gramStart"/>
            <w:r w:rsidRPr="001B3877">
              <w:rPr>
                <w:lang w:eastAsia="en-AU"/>
              </w:rPr>
              <w:t>cost effective</w:t>
            </w:r>
            <w:proofErr w:type="gramEnd"/>
            <w:r w:rsidRPr="001B3877">
              <w:rPr>
                <w:lang w:eastAsia="en-AU"/>
              </w:rPr>
              <w:t xml:space="preserve"> ticketing system for organisations not serviced by existing systems.</w:t>
            </w:r>
          </w:p>
          <w:p w:rsidR="00D8043C" w:rsidRPr="00D8043C" w:rsidRDefault="00D8043C" w:rsidP="00D8043C">
            <w:pPr>
              <w:spacing w:before="120" w:after="240"/>
              <w:rPr>
                <w:lang w:eastAsia="en-AU"/>
              </w:rPr>
            </w:pPr>
            <w:r w:rsidRPr="00D8043C">
              <w:rPr>
                <w:lang w:eastAsia="en-AU"/>
              </w:rPr>
              <w:t xml:space="preserve">A review of sector needs and investigation into existing and potential ticketing system is underway, considering whether a </w:t>
            </w:r>
            <w:proofErr w:type="gramStart"/>
            <w:r w:rsidRPr="00D8043C">
              <w:rPr>
                <w:lang w:eastAsia="en-AU"/>
              </w:rPr>
              <w:t>cost effective</w:t>
            </w:r>
            <w:proofErr w:type="gramEnd"/>
            <w:r w:rsidRPr="00D8043C">
              <w:rPr>
                <w:lang w:eastAsia="en-AU"/>
              </w:rPr>
              <w:t xml:space="preserve"> consortium ticketing system or alternative model could be used by the small to medium sector to provide ticketing and customer relationship management tools. The investigation will determine the need for a system, as well as explore potential areas of operation, management and operating models. </w:t>
            </w:r>
          </w:p>
          <w:p w:rsidR="009D4D25" w:rsidRPr="006B70E6" w:rsidRDefault="00D8043C" w:rsidP="00D8043C">
            <w:pPr>
              <w:spacing w:before="120" w:after="240"/>
              <w:rPr>
                <w:b/>
                <w:lang w:eastAsia="en-AU"/>
              </w:rPr>
            </w:pPr>
            <w:r w:rsidRPr="00D8043C">
              <w:rPr>
                <w:lang w:eastAsia="en-AU"/>
              </w:rPr>
              <w:t xml:space="preserve">Since this recommendation was made, Country Arts SA has invested in a new ticketing system and its experience will inform this work to support the small to medium sector. </w:t>
            </w:r>
          </w:p>
        </w:tc>
      </w:tr>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t>1.4 Fund a business case to assess the viability of an acoustic venue (concert hall) to serve the local music industry, as a home for the Adelaide Symphony Orchestra and Adelaide Youth Orchestras, and as a hub for music education.</w:t>
            </w:r>
          </w:p>
        </w:tc>
      </w:tr>
      <w:tr w:rsidR="008110FE" w:rsidTr="008110FE">
        <w:tc>
          <w:tcPr>
            <w:tcW w:w="9322" w:type="dxa"/>
          </w:tcPr>
          <w:p w:rsidR="008110FE" w:rsidRDefault="008110FE" w:rsidP="008110FE">
            <w:pPr>
              <w:spacing w:before="120" w:after="240"/>
              <w:rPr>
                <w:lang w:eastAsia="en-AU"/>
              </w:rPr>
            </w:pPr>
            <w:r w:rsidRPr="001B3877">
              <w:rPr>
                <w:lang w:eastAsia="en-AU"/>
              </w:rPr>
              <w:t>Supported in-principle - We will consider undertaking a business case on the scope and viability of an acoustic venue.</w:t>
            </w:r>
          </w:p>
          <w:p w:rsidR="009D4D25" w:rsidRDefault="006B70E6" w:rsidP="006B70E6">
            <w:pPr>
              <w:rPr>
                <w:lang w:eastAsia="en-AU"/>
              </w:rPr>
            </w:pPr>
            <w:r w:rsidRPr="006B70E6">
              <w:rPr>
                <w:lang w:eastAsia="en-AU"/>
              </w:rPr>
              <w:t xml:space="preserve">A strategic scoping study is underway to deliver a clear picture of the need for new infrastructure, the benefits being targeted, critical outcomes and potential options. The study will document the landscape for music and music infrastructure in South Australia, look at national and international examples of relevant infrastructure and learnings, and establish a process for engaging with key stakeholders and interested parties. </w:t>
            </w:r>
          </w:p>
          <w:p w:rsidR="006B70E6" w:rsidRDefault="006B70E6" w:rsidP="006B70E6">
            <w:pPr>
              <w:rPr>
                <w:lang w:eastAsia="en-AU"/>
              </w:rPr>
            </w:pPr>
          </w:p>
        </w:tc>
      </w:tr>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t xml:space="preserve">1.5 Fund a feasibility study to identify options for the creation of a black box theatre for Adelaide.  </w:t>
            </w:r>
          </w:p>
        </w:tc>
      </w:tr>
      <w:tr w:rsidR="008110FE" w:rsidTr="008110FE">
        <w:tc>
          <w:tcPr>
            <w:tcW w:w="9322" w:type="dxa"/>
          </w:tcPr>
          <w:p w:rsidR="008110FE" w:rsidRDefault="008110FE" w:rsidP="008110FE">
            <w:pPr>
              <w:spacing w:before="120" w:after="240"/>
              <w:rPr>
                <w:lang w:eastAsia="en-AU"/>
              </w:rPr>
            </w:pPr>
            <w:r w:rsidRPr="001B3877">
              <w:rPr>
                <w:lang w:eastAsia="en-AU"/>
              </w:rPr>
              <w:t>Supported in-principle - We will consider undertaking a feasibility study for a black box theatre.</w:t>
            </w:r>
          </w:p>
          <w:p w:rsidR="00D8043C" w:rsidRPr="00D8043C" w:rsidRDefault="00D8043C" w:rsidP="00D8043C">
            <w:pPr>
              <w:spacing w:before="120" w:after="240"/>
              <w:rPr>
                <w:lang w:eastAsia="en-AU"/>
              </w:rPr>
            </w:pPr>
            <w:r w:rsidRPr="00D8043C">
              <w:rPr>
                <w:lang w:eastAsia="en-AU"/>
              </w:rPr>
              <w:lastRenderedPageBreak/>
              <w:t xml:space="preserve">Before determining the need and requirements for a new space, work is underway to address some of the barriers faced by existing theatres, and venues under consideration as part of the space activation plan for recommendation 1.2. </w:t>
            </w:r>
          </w:p>
          <w:p w:rsidR="009D4D25" w:rsidRDefault="00D8043C" w:rsidP="00D8043C">
            <w:pPr>
              <w:spacing w:before="120" w:after="240"/>
              <w:rPr>
                <w:lang w:eastAsia="en-AU"/>
              </w:rPr>
            </w:pPr>
            <w:r w:rsidRPr="00D8043C">
              <w:rPr>
                <w:lang w:eastAsia="en-AU"/>
              </w:rPr>
              <w:t>The department has been successful in its grant application through the Government Owned Heritage Fund managed by the Department for Environment and Water. The funding will contribute to the building improvement projects planned for the Queens Theatre, including conservation/restoration of the façade and installation of supplementary portal frames. In consultation with relevant stakeholders, the Department of the Premier and Cabinet is considering a range of other projects that will contribute to the flexible and adaptive use of the theatre.</w:t>
            </w:r>
          </w:p>
        </w:tc>
      </w:tr>
      <w:tr w:rsidR="008110FE" w:rsidTr="008110FE">
        <w:tc>
          <w:tcPr>
            <w:tcW w:w="9322" w:type="dxa"/>
            <w:shd w:val="clear" w:color="auto" w:fill="2F5496" w:themeFill="accent1" w:themeFillShade="BF"/>
          </w:tcPr>
          <w:p w:rsidR="008110FE" w:rsidRDefault="008110FE" w:rsidP="008110FE">
            <w:pPr>
              <w:spacing w:before="120" w:after="120"/>
            </w:pPr>
            <w:r w:rsidRPr="008110FE">
              <w:rPr>
                <w:color w:val="FFFFFF" w:themeColor="background1"/>
              </w:rPr>
              <w:lastRenderedPageBreak/>
              <w:t>1.6 Develop a five-year revitalisation plan of regional arts centres as creative hubs within their respective communities.</w:t>
            </w:r>
          </w:p>
        </w:tc>
      </w:tr>
      <w:tr w:rsidR="008110FE" w:rsidTr="008110FE">
        <w:tc>
          <w:tcPr>
            <w:tcW w:w="9322" w:type="dxa"/>
          </w:tcPr>
          <w:p w:rsidR="008110FE" w:rsidRDefault="008110FE" w:rsidP="008110FE">
            <w:pPr>
              <w:spacing w:before="120" w:after="120"/>
              <w:rPr>
                <w:lang w:eastAsia="en-AU"/>
              </w:rPr>
            </w:pPr>
            <w:r w:rsidRPr="001B3877">
              <w:rPr>
                <w:lang w:eastAsia="en-AU"/>
              </w:rPr>
              <w:t>Supported in-principle - We will undertake further consultation with Country Arts SA and other regional stakeholders to develop a plan for regional arts centres as creative hubs.</w:t>
            </w:r>
          </w:p>
          <w:p w:rsidR="00D8043C" w:rsidRPr="00D8043C" w:rsidRDefault="00D8043C" w:rsidP="00D8043C">
            <w:pPr>
              <w:spacing w:before="120" w:after="120"/>
            </w:pPr>
            <w:r w:rsidRPr="00D8043C">
              <w:t xml:space="preserve">Arts South Australia and Country Arts SA are collaborating to progress this recommendation. </w:t>
            </w:r>
          </w:p>
          <w:p w:rsidR="006B70E6" w:rsidRDefault="00D8043C" w:rsidP="00D8043C">
            <w:pPr>
              <w:spacing w:before="120" w:after="120"/>
            </w:pPr>
            <w:r w:rsidRPr="00D8043C">
              <w:t>Country Arts SA’s ongoing engagement with key stakeholders in each community and strategic planning for the revitalisation of the four regional arts centres is informing the outcomes of this work.</w:t>
            </w:r>
          </w:p>
        </w:tc>
      </w:tr>
    </w:tbl>
    <w:p w:rsidR="008110FE" w:rsidRDefault="008110FE" w:rsidP="008110FE"/>
    <w:p w:rsidR="008110FE" w:rsidRDefault="008110FE" w:rsidP="008110FE">
      <w:pPr>
        <w:pStyle w:val="Heading1Heading1"/>
        <w:rPr>
          <w:lang w:eastAsia="en-AU"/>
        </w:rPr>
      </w:pPr>
      <w:bookmarkStart w:id="2" w:name="_Toc17814408"/>
      <w:r>
        <w:t xml:space="preserve">2. </w:t>
      </w:r>
      <w:r w:rsidRPr="001B3877">
        <w:rPr>
          <w:lang w:eastAsia="en-AU"/>
        </w:rPr>
        <w:t>Review grant programs</w:t>
      </w:r>
      <w:bookmarkEnd w:id="2"/>
    </w:p>
    <w:p w:rsidR="00A122B7" w:rsidRDefault="00A122B7" w:rsidP="00A122B7">
      <w:pPr>
        <w:rPr>
          <w:lang w:eastAsia="en-AU"/>
        </w:rPr>
      </w:pPr>
      <w:r>
        <w:rPr>
          <w:lang w:eastAsia="en-AU"/>
        </w:rPr>
        <w:t xml:space="preserve">Objective: </w:t>
      </w:r>
      <w:r w:rsidRPr="00A122B7">
        <w:rPr>
          <w:lang w:eastAsia="en-AU"/>
        </w:rPr>
        <w:t>review grant programs, to ensure that existing funds and increased grant allocations are focused on supporting independent artists and organisations and a successful and sustainable ecosystem for creative enterprise</w:t>
      </w:r>
      <w:r>
        <w:rPr>
          <w:lang w:eastAsia="en-AU"/>
        </w:rPr>
        <w:t>.</w:t>
      </w:r>
    </w:p>
    <w:p w:rsidR="00A122B7" w:rsidRPr="00A122B7" w:rsidRDefault="00A122B7" w:rsidP="00A122B7">
      <w:pPr>
        <w:rPr>
          <w:b/>
        </w:rPr>
      </w:pPr>
      <w:r w:rsidRPr="00A122B7">
        <w:rPr>
          <w:b/>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2.1 Maintain the existing Grant funding structure and assessment processes, supporting the South Australian arts sector until a new model appropriate to the South Australian community is developed and implemented in 2021.</w:t>
            </w:r>
          </w:p>
        </w:tc>
      </w:tr>
      <w:tr w:rsidR="008110FE" w:rsidTr="00363483">
        <w:tc>
          <w:tcPr>
            <w:tcW w:w="9322" w:type="dxa"/>
          </w:tcPr>
          <w:p w:rsidR="00EC5185" w:rsidRPr="006B70E6" w:rsidRDefault="008110FE" w:rsidP="006B70E6">
            <w:pPr>
              <w:spacing w:before="120" w:after="240"/>
              <w:rPr>
                <w:lang w:eastAsia="en-AU"/>
              </w:rPr>
            </w:pPr>
            <w:r w:rsidRPr="001B3877">
              <w:rPr>
                <w:lang w:eastAsia="en-AU"/>
              </w:rPr>
              <w:t>Accepted - We will review arts funding models and consider any proposed changes in 2021.</w:t>
            </w:r>
          </w:p>
          <w:p w:rsidR="00D8043C" w:rsidRPr="00D8043C" w:rsidRDefault="00D8043C" w:rsidP="00D8043C">
            <w:pPr>
              <w:spacing w:before="120" w:after="240"/>
              <w:rPr>
                <w:lang w:eastAsia="en-AU"/>
              </w:rPr>
            </w:pPr>
            <w:r w:rsidRPr="00D8043C">
              <w:rPr>
                <w:lang w:eastAsia="en-AU"/>
              </w:rPr>
              <w:t xml:space="preserve">Arts South Australia’s new </w:t>
            </w:r>
            <w:hyperlink r:id="rId9" w:history="1">
              <w:r w:rsidRPr="00D8043C">
                <w:rPr>
                  <w:rStyle w:val="Hyperlink"/>
                  <w:lang w:eastAsia="en-AU"/>
                </w:rPr>
                <w:t>Arts and Culture Grants Program</w:t>
              </w:r>
            </w:hyperlink>
            <w:r w:rsidRPr="00D8043C">
              <w:rPr>
                <w:lang w:eastAsia="en-AU"/>
              </w:rPr>
              <w:t xml:space="preserve"> was released in late August 2020, spanning art forms and areas of practice for professional artists and arts organisation to develop, make work and engage with audiences. Investment in the sector also assists in building partnerships and creative collaborations which enhance South Australia’s longstanding reputation as a place for arts and culture. </w:t>
            </w:r>
          </w:p>
          <w:p w:rsidR="00D8043C" w:rsidRPr="00D8043C" w:rsidRDefault="00D8043C" w:rsidP="00D8043C">
            <w:pPr>
              <w:spacing w:before="120" w:after="240"/>
              <w:rPr>
                <w:lang w:eastAsia="en-AU"/>
              </w:rPr>
            </w:pPr>
            <w:r w:rsidRPr="00D8043C">
              <w:rPr>
                <w:lang w:eastAsia="en-AU"/>
              </w:rPr>
              <w:t>A review of the Arts Organisations Program that provides funding to vibrant small-to-medium arts and culture organisations that contribute to a sustainable and thriving arts culture in South Australia has been completed, with an implementation plan in development.</w:t>
            </w:r>
          </w:p>
          <w:p w:rsidR="00D8043C" w:rsidRPr="00D8043C" w:rsidRDefault="00D8043C" w:rsidP="00D8043C">
            <w:pPr>
              <w:spacing w:before="120" w:after="240"/>
              <w:rPr>
                <w:lang w:eastAsia="en-AU"/>
              </w:rPr>
            </w:pPr>
            <w:r w:rsidRPr="00D8043C">
              <w:rPr>
                <w:lang w:eastAsia="en-AU"/>
              </w:rPr>
              <w:t xml:space="preserve">Inclusion of $1 million per annum in funds allocated through the government’s budget measure from 2018-19, has aligned with the intent of the Arts Plan, and government’s commitment to build sustainable artist careers and organisations. </w:t>
            </w:r>
          </w:p>
          <w:p w:rsidR="00D8043C" w:rsidRPr="00D8043C" w:rsidRDefault="00D8043C" w:rsidP="00D8043C">
            <w:pPr>
              <w:spacing w:before="120" w:after="240"/>
              <w:rPr>
                <w:u w:val="single"/>
                <w:lang w:eastAsia="en-AU"/>
              </w:rPr>
            </w:pPr>
            <w:r w:rsidRPr="00D8043C">
              <w:rPr>
                <w:lang w:eastAsia="en-AU"/>
              </w:rPr>
              <w:lastRenderedPageBreak/>
              <w:t>The review of Arts South Australia’s grants program included extensive research, national and international benchmarking and targeted sector engagement. As COVID-19 continues to have an unprecedented impact on the arts and culture sector, the grants funding model supports a flexible, streamlined grants program that has been informed by, and is responsive to, sector activity and needs. </w:t>
            </w:r>
          </w:p>
          <w:p w:rsidR="00EC5185" w:rsidRDefault="00D8043C" w:rsidP="00D8043C">
            <w:pPr>
              <w:spacing w:before="120" w:after="240"/>
              <w:rPr>
                <w:lang w:eastAsia="en-AU"/>
              </w:rPr>
            </w:pPr>
            <w:r w:rsidRPr="00D8043C">
              <w:rPr>
                <w:lang w:eastAsia="en-AU"/>
              </w:rPr>
              <w:t>Government’s response to this recommendation is now complete.</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lastRenderedPageBreak/>
              <w:t>2.2 Establish a 2-year Creative Fellowship program to provide support to South Australian artists and cultural leaders across all disciplines.</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will establish a pilot Creative Fellowship Program and evaluate the outcomes of this program.</w:t>
            </w:r>
          </w:p>
          <w:p w:rsidR="00564000" w:rsidRDefault="006B70E6" w:rsidP="00564000">
            <w:pPr>
              <w:spacing w:before="120" w:after="240"/>
              <w:rPr>
                <w:lang w:eastAsia="en-AU"/>
              </w:rPr>
            </w:pPr>
            <w:r w:rsidRPr="006B70E6">
              <w:rPr>
                <w:lang w:eastAsia="en-AU"/>
              </w:rPr>
              <w:t xml:space="preserve">This recommendation is now complete following the launch of Arts South Australia’s new </w:t>
            </w:r>
            <w:hyperlink r:id="rId10" w:history="1">
              <w:r w:rsidRPr="006B70E6">
                <w:rPr>
                  <w:rStyle w:val="Hyperlink"/>
                  <w:lang w:eastAsia="en-AU"/>
                </w:rPr>
                <w:t>Arts and Culture Grants Program</w:t>
              </w:r>
            </w:hyperlink>
            <w:r w:rsidRPr="006B70E6">
              <w:rPr>
                <w:lang w:eastAsia="en-AU"/>
              </w:rPr>
              <w:t xml:space="preserve"> in August 2020. The program includes increased opportunities for fellowship funding to support individual artists, creatives and cultural leaders to undertake a sustained period of creative development that will strengthen and extend their professional practice and contribute to the arts and cultural ecology in South Australia.</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2.3 Develop an Arts Investment funding model to be implemented in 2021.</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will review arts funding models and consider any proposed changes in 2021.</w:t>
            </w:r>
          </w:p>
          <w:p w:rsidR="00564000" w:rsidRPr="006B70E6" w:rsidRDefault="006B70E6" w:rsidP="00564000">
            <w:pPr>
              <w:spacing w:before="120" w:after="240"/>
              <w:rPr>
                <w:lang w:eastAsia="en-AU"/>
              </w:rPr>
            </w:pPr>
            <w:r w:rsidRPr="006B70E6">
              <w:rPr>
                <w:lang w:eastAsia="en-AU"/>
              </w:rPr>
              <w:t>This recommendation is now complete following the activity undertaken as part of the review of Arts South Australia’s grants funding model in recommendation 2.1.</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2.4 Work towards harmonised application, assessment and funding timelines and grant management for the Major and small to medium companies with the Federal Government and the Australia Council for the Arts.</w:t>
            </w:r>
          </w:p>
        </w:tc>
      </w:tr>
      <w:tr w:rsidR="008110FE" w:rsidTr="00363483">
        <w:tc>
          <w:tcPr>
            <w:tcW w:w="9322" w:type="dxa"/>
          </w:tcPr>
          <w:p w:rsidR="00564000" w:rsidRPr="006B70E6" w:rsidRDefault="008110FE" w:rsidP="00564000">
            <w:pPr>
              <w:spacing w:before="120" w:after="240"/>
              <w:rPr>
                <w:lang w:eastAsia="en-AU"/>
              </w:rPr>
            </w:pPr>
            <w:r w:rsidRPr="008110FE">
              <w:rPr>
                <w:lang w:eastAsia="en-AU"/>
              </w:rPr>
              <w:t>Accepted - In conjunction with the Federal Government and Australia Council for the Arts, we will progress harmonisation of application, assessment and funding timelines, as well as grant management practices for small, medium and major companies.</w:t>
            </w:r>
          </w:p>
          <w:p w:rsidR="00564000" w:rsidRDefault="006B70E6" w:rsidP="00564000">
            <w:pPr>
              <w:spacing w:before="120" w:after="240"/>
              <w:rPr>
                <w:lang w:eastAsia="en-AU"/>
              </w:rPr>
            </w:pPr>
            <w:r w:rsidRPr="006B70E6">
              <w:rPr>
                <w:lang w:eastAsia="en-AU"/>
              </w:rPr>
              <w:t xml:space="preserve">This recommendation is now complete following the activity undertaken as part of the review of Arts South Australia’s grants funding model in recommendation 2.1. Where possible, opportunities in Arts South Australia’s </w:t>
            </w:r>
            <w:hyperlink r:id="rId11" w:history="1">
              <w:r w:rsidRPr="006B70E6">
                <w:rPr>
                  <w:rStyle w:val="Hyperlink"/>
                  <w:lang w:eastAsia="en-AU"/>
                </w:rPr>
                <w:t>Arts and Culture Grants Program</w:t>
              </w:r>
            </w:hyperlink>
            <w:r w:rsidRPr="006B70E6">
              <w:rPr>
                <w:lang w:eastAsia="en-AU"/>
              </w:rPr>
              <w:t xml:space="preserve"> align with the Federal Government and the Australia Council for the Arts, supporting applicants to leverage additional funding opportunities and reduce administrative work.</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2.5 Establish an Arts Organisations Collaboration Fund.</w:t>
            </w:r>
          </w:p>
        </w:tc>
      </w:tr>
      <w:tr w:rsidR="008110FE" w:rsidTr="00363483">
        <w:tc>
          <w:tcPr>
            <w:tcW w:w="9322" w:type="dxa"/>
          </w:tcPr>
          <w:p w:rsidR="008110FE" w:rsidRDefault="008110FE" w:rsidP="008110FE">
            <w:pPr>
              <w:spacing w:before="120" w:after="240"/>
              <w:rPr>
                <w:lang w:eastAsia="en-AU"/>
              </w:rPr>
            </w:pPr>
            <w:r w:rsidRPr="001B3877">
              <w:rPr>
                <w:lang w:eastAsia="en-AU"/>
              </w:rPr>
              <w:t>Supported in-principle - An arts organisations collaboration funding model will be developed for consideration by government as part of the State Budget process.</w:t>
            </w:r>
          </w:p>
          <w:p w:rsidR="006B70E6" w:rsidRPr="006B70E6" w:rsidRDefault="006B70E6" w:rsidP="006B70E6">
            <w:pPr>
              <w:spacing w:before="120" w:after="240"/>
              <w:rPr>
                <w:lang w:eastAsia="en-AU"/>
              </w:rPr>
            </w:pPr>
            <w:r w:rsidRPr="006B70E6">
              <w:rPr>
                <w:lang w:eastAsia="en-AU"/>
              </w:rPr>
              <w:t xml:space="preserve">The COVID-19 Arts Grants Support funding program delivered in early 2020 included a pilot Arts Organisations Collaboration grants category – for major arts and cultural organisations, the small-to-medium sector and independent artists to collaborate with the intent to support the development of new work in new ways and explore true cross-sector collaboration as resources and knowledge are shared for mutual benefit.  </w:t>
            </w:r>
          </w:p>
          <w:p w:rsidR="006B70E6" w:rsidRPr="006B70E6" w:rsidRDefault="006B70E6" w:rsidP="006B70E6">
            <w:pPr>
              <w:spacing w:before="120" w:after="240"/>
              <w:rPr>
                <w:lang w:eastAsia="en-AU"/>
              </w:rPr>
            </w:pPr>
            <w:r w:rsidRPr="006B70E6">
              <w:rPr>
                <w:lang w:eastAsia="en-AU"/>
              </w:rPr>
              <w:lastRenderedPageBreak/>
              <w:t xml:space="preserve">The findings of this pilot grant category have informed the </w:t>
            </w:r>
            <w:hyperlink r:id="rId12" w:history="1">
              <w:r w:rsidRPr="006B70E6">
                <w:rPr>
                  <w:rStyle w:val="Hyperlink"/>
                  <w:lang w:eastAsia="en-AU"/>
                </w:rPr>
                <w:t>Major Projects - Collaboration</w:t>
              </w:r>
            </w:hyperlink>
            <w:r w:rsidRPr="006B70E6">
              <w:rPr>
                <w:lang w:eastAsia="en-AU"/>
              </w:rPr>
              <w:t xml:space="preserve"> grants category included in the new grants funding model launched in August 2020. </w:t>
            </w:r>
          </w:p>
          <w:p w:rsidR="00EC5185" w:rsidRDefault="006B70E6" w:rsidP="006B70E6">
            <w:pPr>
              <w:spacing w:before="120" w:after="240"/>
              <w:rPr>
                <w:lang w:eastAsia="en-AU"/>
              </w:rPr>
            </w:pPr>
            <w:r w:rsidRPr="006B70E6">
              <w:rPr>
                <w:lang w:eastAsia="en-AU"/>
              </w:rPr>
              <w:t>This recommendation is now complete.</w:t>
            </w:r>
          </w:p>
        </w:tc>
      </w:tr>
    </w:tbl>
    <w:p w:rsidR="00A122B7" w:rsidRDefault="00A122B7"/>
    <w:p w:rsidR="008110FE" w:rsidRDefault="008110FE" w:rsidP="008110FE">
      <w:pPr>
        <w:pStyle w:val="Heading1Heading1"/>
        <w:rPr>
          <w:lang w:eastAsia="en-AU"/>
        </w:rPr>
      </w:pPr>
      <w:bookmarkStart w:id="3" w:name="_Toc17814409"/>
      <w:r>
        <w:t xml:space="preserve">3. </w:t>
      </w:r>
      <w:r w:rsidRPr="001B3877">
        <w:rPr>
          <w:lang w:eastAsia="en-AU"/>
        </w:rPr>
        <w:t>Consider regional and rural South Australia</w:t>
      </w:r>
      <w:bookmarkEnd w:id="3"/>
    </w:p>
    <w:p w:rsidR="00A122B7" w:rsidRDefault="00A122B7" w:rsidP="00A122B7">
      <w:pPr>
        <w:rPr>
          <w:lang w:eastAsia="en-AU"/>
        </w:rPr>
      </w:pPr>
      <w:r>
        <w:rPr>
          <w:lang w:eastAsia="en-AU"/>
        </w:rPr>
        <w:t xml:space="preserve">Objective: </w:t>
      </w:r>
      <w:r w:rsidRPr="00A122B7">
        <w:rPr>
          <w:lang w:eastAsia="en-AU"/>
        </w:rPr>
        <w:t>consider what more we can do to meet the needs of regional and rural South Australia, local cultural activity in regional towns and centres, career pathways for artists from the regions, and access to regional touring opportunities for large and small companies</w:t>
      </w:r>
      <w:r>
        <w:rPr>
          <w:lang w:eastAsia="en-AU"/>
        </w:rPr>
        <w:t>.</w:t>
      </w:r>
    </w:p>
    <w:p w:rsidR="00A122B7" w:rsidRPr="00A122B7" w:rsidRDefault="00A122B7" w:rsidP="00A122B7">
      <w:pPr>
        <w:rPr>
          <w:b/>
        </w:rPr>
      </w:pPr>
      <w:r w:rsidRPr="00A122B7">
        <w:rPr>
          <w:b/>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3.1 Maintain Country Arts SA as a Statutory Authority to support arts and cultural development across the state. Review its funding levels to ensure it can optimise its position and deliver on its Strategic Plan.</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support the valued work of Country Arts SA. In collaboration with Country Arts SA and key stakeholders, we will investigate governance and funding structures to support arts and cultural activity across the state.</w:t>
            </w:r>
          </w:p>
          <w:p w:rsidR="00D8043C" w:rsidRPr="00D8043C" w:rsidRDefault="00D8043C" w:rsidP="00D8043C">
            <w:pPr>
              <w:spacing w:before="120" w:after="240"/>
              <w:rPr>
                <w:bCs/>
                <w:lang w:eastAsia="en-AU"/>
              </w:rPr>
            </w:pPr>
            <w:r w:rsidRPr="00D8043C">
              <w:rPr>
                <w:bCs/>
                <w:lang w:eastAsia="en-AU"/>
              </w:rPr>
              <w:t xml:space="preserve">We acknowledge and support the valued work of Country Arts SA to produce, present and facilitate arts and cultural programs in regional South Australia. This recommendation is being addressed in two parts, through the </w:t>
            </w:r>
            <w:hyperlink r:id="rId13" w:history="1">
              <w:r w:rsidRPr="00D8043C">
                <w:rPr>
                  <w:rStyle w:val="Hyperlink"/>
                  <w:i/>
                  <w:lang w:eastAsia="en-AU"/>
                </w:rPr>
                <w:t>Statutory Authority Governance Structures Review Report</w:t>
              </w:r>
              <w:r w:rsidRPr="00D8043C">
                <w:rPr>
                  <w:rStyle w:val="Hyperlink"/>
                  <w:lang w:eastAsia="en-AU"/>
                </w:rPr>
                <w:t xml:space="preserve"> </w:t>
              </w:r>
              <w:r w:rsidRPr="00D8043C">
                <w:rPr>
                  <w:rStyle w:val="Hyperlink"/>
                  <w:i/>
                  <w:lang w:eastAsia="en-AU"/>
                </w:rPr>
                <w:t>November 2020</w:t>
              </w:r>
            </w:hyperlink>
            <w:r w:rsidRPr="00D8043C">
              <w:rPr>
                <w:i/>
                <w:lang w:eastAsia="en-AU"/>
              </w:rPr>
              <w:t xml:space="preserve"> </w:t>
            </w:r>
            <w:r w:rsidRPr="00D8043C">
              <w:rPr>
                <w:bCs/>
                <w:lang w:eastAsia="en-AU"/>
              </w:rPr>
              <w:t xml:space="preserve">in response to recommendation 6.3, as well as through budget review processes. These processes will support government to determine whether any future action is required, which would be undertaken separately.  </w:t>
            </w:r>
          </w:p>
          <w:p w:rsidR="006B70E6" w:rsidRDefault="00D8043C" w:rsidP="00D8043C">
            <w:pPr>
              <w:spacing w:before="120" w:after="240"/>
              <w:rPr>
                <w:lang w:eastAsia="en-AU"/>
              </w:rPr>
            </w:pPr>
            <w:r w:rsidRPr="00D8043C">
              <w:rPr>
                <w:bCs/>
                <w:lang w:eastAsia="en-AU"/>
              </w:rPr>
              <w:t>Consideration of the outcomes of recommendation 3.2 and 3.3, will also inform the consideration of budget against Country Arts SA’s strategic plan aspirations.</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3.2 Revitalise existing regional arts centres as creative community hubs and invest in new centres to meet the needs of the local community and elevate their role and standing.</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will work with Country Arts SA and key stakeholders to review opportunities for revitalisation of regional arts centres as creative community hubs.</w:t>
            </w:r>
          </w:p>
          <w:p w:rsidR="006B70E6" w:rsidRDefault="006B70E6" w:rsidP="00363483">
            <w:pPr>
              <w:spacing w:before="120" w:after="240"/>
              <w:rPr>
                <w:lang w:eastAsia="en-AU"/>
              </w:rPr>
            </w:pPr>
            <w:r w:rsidRPr="006B70E6">
              <w:rPr>
                <w:lang w:eastAsia="en-AU"/>
              </w:rPr>
              <w:t>Country Arts SA is working with key stakeholders in each community to inform their strategic planning to support the creative needs of local communities. Our ongoing discussions with Country Arts SA are informing the progression of this recommendation.</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3.3 Reform governance options for regional arts venues to ensure effective engagement with local government and alignment with local community needs.</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In collaboration with Country Arts SA, local government and key stakeholders, we will review governance options to ensure they are aligned with community needs.</w:t>
            </w:r>
          </w:p>
          <w:p w:rsidR="00D8043C" w:rsidRPr="00D8043C" w:rsidRDefault="00D8043C" w:rsidP="00D8043C">
            <w:pPr>
              <w:spacing w:before="120" w:after="240"/>
              <w:rPr>
                <w:bCs/>
                <w:lang w:eastAsia="en-AU"/>
              </w:rPr>
            </w:pPr>
            <w:r w:rsidRPr="00D8043C">
              <w:rPr>
                <w:bCs/>
                <w:lang w:eastAsia="en-AU"/>
              </w:rPr>
              <w:lastRenderedPageBreak/>
              <w:t>We support the valued work undertaken by Country Arts SA in working with local government and regional communities to support regional arts and culture.</w:t>
            </w:r>
          </w:p>
          <w:p w:rsidR="006B70E6" w:rsidRDefault="00D8043C" w:rsidP="00D8043C">
            <w:pPr>
              <w:spacing w:before="120" w:after="240"/>
              <w:rPr>
                <w:lang w:eastAsia="en-AU"/>
              </w:rPr>
            </w:pPr>
            <w:r w:rsidRPr="00D8043C">
              <w:rPr>
                <w:lang w:eastAsia="en-AU"/>
              </w:rPr>
              <w:t xml:space="preserve">Arts South Australia and Country Arts SA are collaborating to progress this recommendation. Consideration of the </w:t>
            </w:r>
            <w:hyperlink r:id="rId14" w:history="1">
              <w:r w:rsidRPr="00D8043C">
                <w:rPr>
                  <w:rStyle w:val="Hyperlink"/>
                  <w:i/>
                  <w:lang w:eastAsia="en-AU"/>
                </w:rPr>
                <w:t>Statutory Authority Governance Structures Review Report</w:t>
              </w:r>
              <w:r w:rsidRPr="00D8043C">
                <w:rPr>
                  <w:rStyle w:val="Hyperlink"/>
                  <w:lang w:eastAsia="en-AU"/>
                </w:rPr>
                <w:t xml:space="preserve"> </w:t>
              </w:r>
              <w:r w:rsidRPr="00D8043C">
                <w:rPr>
                  <w:rStyle w:val="Hyperlink"/>
                  <w:i/>
                  <w:lang w:eastAsia="en-AU"/>
                </w:rPr>
                <w:t>November 2020</w:t>
              </w:r>
            </w:hyperlink>
            <w:r w:rsidRPr="00D8043C">
              <w:rPr>
                <w:lang w:eastAsia="en-AU"/>
              </w:rPr>
              <w:t xml:space="preserve"> produced in response to recommendation 6.3, as well as our ongoing discussions with Country Arts SA are informing consideration of the </w:t>
            </w:r>
            <w:r w:rsidRPr="00D8043C">
              <w:rPr>
                <w:bCs/>
                <w:lang w:eastAsia="en-AU"/>
              </w:rPr>
              <w:t>appropriate asset ownership and governance mechanisms to support effective delivery of arts and culture priorities in the regions.</w:t>
            </w:r>
          </w:p>
        </w:tc>
      </w:tr>
    </w:tbl>
    <w:p w:rsidR="00A122B7" w:rsidRDefault="00A122B7"/>
    <w:p w:rsidR="008110FE" w:rsidRDefault="008110FE" w:rsidP="008110FE">
      <w:pPr>
        <w:pStyle w:val="Heading1Heading1"/>
        <w:rPr>
          <w:lang w:eastAsia="en-AU"/>
        </w:rPr>
      </w:pPr>
      <w:bookmarkStart w:id="4" w:name="_Toc17814410"/>
      <w:r>
        <w:t xml:space="preserve">4. </w:t>
      </w:r>
      <w:r w:rsidRPr="001B3877">
        <w:rPr>
          <w:lang w:eastAsia="en-AU"/>
        </w:rPr>
        <w:t>Develop and deliver a state-wide Digital Access Plan</w:t>
      </w:r>
      <w:bookmarkEnd w:id="4"/>
      <w:r w:rsidRPr="001B3877">
        <w:rPr>
          <w:lang w:eastAsia="en-AU"/>
        </w:rPr>
        <w:t xml:space="preserve"> </w:t>
      </w:r>
    </w:p>
    <w:p w:rsidR="00A122B7" w:rsidRDefault="00A122B7" w:rsidP="00A122B7">
      <w:pPr>
        <w:rPr>
          <w:lang w:eastAsia="en-AU"/>
        </w:rPr>
      </w:pPr>
      <w:r>
        <w:rPr>
          <w:lang w:eastAsia="en-AU"/>
        </w:rPr>
        <w:t xml:space="preserve">Objective: </w:t>
      </w:r>
      <w:r w:rsidRPr="00A122B7">
        <w:rPr>
          <w:lang w:eastAsia="en-AU"/>
        </w:rPr>
        <w:t>develop and deliver on a state-wide Digital Access Plan for our irreplaceable cultural collections – building on the work of those institutions that are already engaged in this work and helping to ensure that these collections are therefore accessible to all South Australians and the world. Digital platforms provide a window to the world for South Australia’s unique cultural heritage and we must take advantage of this opportunity to showcase ourselves</w:t>
      </w:r>
      <w:r w:rsidR="001F5CEE">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4.1 Undertake a feasibility study to create a new digitisation business that provides this service to the sector across the state – along the lines of Artlab Australia, as a semi-commercial, not for profit enterprise.</w:t>
            </w:r>
          </w:p>
        </w:tc>
      </w:tr>
      <w:tr w:rsidR="008110FE" w:rsidTr="00363483">
        <w:tc>
          <w:tcPr>
            <w:tcW w:w="9322" w:type="dxa"/>
          </w:tcPr>
          <w:p w:rsidR="008110FE" w:rsidRDefault="008110FE" w:rsidP="00363483">
            <w:pPr>
              <w:spacing w:before="120" w:after="240"/>
              <w:rPr>
                <w:lang w:eastAsia="en-AU"/>
              </w:rPr>
            </w:pPr>
            <w:r w:rsidRPr="008110FE">
              <w:rPr>
                <w:lang w:eastAsia="en-AU"/>
              </w:rPr>
              <w:t>Accepted - A feasibility study will be undertaken to assess the viability of a digitisation business to deliver services across the state.</w:t>
            </w:r>
          </w:p>
          <w:p w:rsidR="00D8043C" w:rsidRPr="00D8043C" w:rsidRDefault="00D8043C" w:rsidP="00D8043C">
            <w:pPr>
              <w:spacing w:before="120" w:after="240"/>
              <w:rPr>
                <w:lang w:eastAsia="en-AU"/>
              </w:rPr>
            </w:pPr>
            <w:r w:rsidRPr="00D8043C">
              <w:rPr>
                <w:lang w:eastAsia="en-AU"/>
              </w:rPr>
              <w:t>The Digital Access Consultative Group (DACG) was established, comprising members of key cultural, heritage and art collection organisations, to support progression of the State’s Digital Access Plan (DAP) and Digital Access Model. The DACG developed principles aimed at creating the collaborative digital access model necessary to significantly expand public digital access and preservation. </w:t>
            </w:r>
          </w:p>
          <w:p w:rsidR="00D8043C" w:rsidRPr="00D8043C" w:rsidRDefault="00D8043C" w:rsidP="00D8043C">
            <w:pPr>
              <w:spacing w:before="120" w:after="240"/>
              <w:rPr>
                <w:lang w:eastAsia="en-AU"/>
              </w:rPr>
            </w:pPr>
            <w:r w:rsidRPr="00D8043C">
              <w:rPr>
                <w:lang w:eastAsia="en-AU"/>
              </w:rPr>
              <w:t>The DACG delivered the Digitisation Service Feasibility Study to the Steering Committee to note. Steering Committee has supported a request to commence a business case costing the preferred service model as identified by DACG.</w:t>
            </w:r>
          </w:p>
          <w:p w:rsidR="00D8043C" w:rsidRDefault="00D8043C" w:rsidP="00D8043C">
            <w:pPr>
              <w:spacing w:before="120" w:after="240"/>
              <w:rPr>
                <w:lang w:eastAsia="en-AU"/>
              </w:rPr>
            </w:pPr>
            <w:r w:rsidRPr="00D8043C">
              <w:rPr>
                <w:lang w:eastAsia="en-AU"/>
              </w:rPr>
              <w:t xml:space="preserve">DACG has endorsed the Arts and Culture Digital Access Plan for South Australia. </w:t>
            </w:r>
          </w:p>
          <w:p w:rsidR="00D8043C" w:rsidRPr="00D8043C" w:rsidRDefault="00D8043C" w:rsidP="00D8043C">
            <w:pPr>
              <w:spacing w:before="120" w:after="240"/>
              <w:rPr>
                <w:lang w:eastAsia="en-AU"/>
              </w:rPr>
            </w:pPr>
            <w:r w:rsidRPr="00D8043C">
              <w:rPr>
                <w:lang w:eastAsia="en-AU"/>
              </w:rPr>
              <w:t>The Steering Committee is also supporting the DACG to re-scope the digital access pilot to progress key principles of the DAP.</w:t>
            </w:r>
          </w:p>
          <w:p w:rsidR="00D8043C" w:rsidRPr="00D8043C" w:rsidRDefault="00D8043C" w:rsidP="00D8043C">
            <w:pPr>
              <w:spacing w:before="120" w:after="240"/>
              <w:rPr>
                <w:lang w:eastAsia="en-AU"/>
              </w:rPr>
            </w:pPr>
            <w:r w:rsidRPr="00D8043C">
              <w:rPr>
                <w:lang w:eastAsia="en-AU"/>
              </w:rPr>
              <w:t xml:space="preserve">With the recommendation now complete, work is progressing on the digital access pilot to progress key principles of the DAP. This includes collaboration, sharing digitisation expertise and providing interactive access to South Australia’s digital assets. </w:t>
            </w:r>
          </w:p>
          <w:p w:rsidR="00D8043C" w:rsidRPr="00D8043C" w:rsidRDefault="00D8043C" w:rsidP="00D8043C">
            <w:pPr>
              <w:spacing w:before="120" w:after="240"/>
              <w:rPr>
                <w:lang w:eastAsia="en-AU"/>
              </w:rPr>
            </w:pPr>
            <w:r w:rsidRPr="00D8043C">
              <w:rPr>
                <w:lang w:eastAsia="en-AU"/>
              </w:rPr>
              <w:t>Acknowledgment should be made, that whilst the COVID-19 pandemic is posing significant challenges across the sector, South Australian arts organisations have embraced digitisation and the digital space, with many organisations providing online workshops and delivering their artistic programs through various digital platforms.</w:t>
            </w:r>
          </w:p>
          <w:p w:rsidR="00EC5185" w:rsidRPr="006B70E6" w:rsidRDefault="00D8043C" w:rsidP="00D8043C">
            <w:pPr>
              <w:spacing w:before="120" w:after="240"/>
              <w:rPr>
                <w:lang w:eastAsia="en-AU"/>
              </w:rPr>
            </w:pPr>
            <w:r w:rsidRPr="00D8043C">
              <w:rPr>
                <w:lang w:eastAsia="en-AU"/>
              </w:rPr>
              <w:lastRenderedPageBreak/>
              <w:t>Arts South Australia will continue to support organisations to leverage the opportunities for engagement with their respective audiences, through the digital space.</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lastRenderedPageBreak/>
              <w:t>4.2 Establish a Digital Cultures Fund to support digital infrastructure and digital skills development.</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As part of the response to recommendation 4.1, we will work with key stakeholders to scope a Digital Cultures Fund for further consideration</w:t>
            </w:r>
            <w:r w:rsidR="001F5CEE">
              <w:rPr>
                <w:lang w:eastAsia="en-AU"/>
              </w:rPr>
              <w:t>.</w:t>
            </w:r>
          </w:p>
          <w:p w:rsidR="00D8043C" w:rsidRPr="00D8043C" w:rsidRDefault="00D8043C" w:rsidP="00D8043C">
            <w:pPr>
              <w:spacing w:before="120" w:after="240"/>
              <w:rPr>
                <w:lang w:eastAsia="en-AU"/>
              </w:rPr>
            </w:pPr>
            <w:r w:rsidRPr="00D8043C">
              <w:rPr>
                <w:lang w:eastAsia="en-AU"/>
              </w:rPr>
              <w:t>The Digital Cultures Fund will be guided by the principles of the Digital Access Plan and is intended to provide funding to progress digitisation and digital skills development in a coherent and collaborative way across the sector. </w:t>
            </w:r>
          </w:p>
          <w:p w:rsidR="003E4EFB" w:rsidRDefault="00D8043C" w:rsidP="00D8043C">
            <w:pPr>
              <w:spacing w:before="120" w:after="240"/>
              <w:rPr>
                <w:lang w:eastAsia="en-AU"/>
              </w:rPr>
            </w:pPr>
            <w:r w:rsidRPr="00D8043C">
              <w:rPr>
                <w:lang w:eastAsia="en-AU"/>
              </w:rPr>
              <w:t>Establishment of the fund is subject to securing funding. Investment in a pilot program utilising funding from the Arts Recovery Fund is currently being scoped to support digitisation infrastructure as well as skills development that supports implementation of the objectives and principles of the Digital Access Plan under development for recommendation 4.1.</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4.3 Establish a Digital Cultures Matched Fund supporting digital learning and innovation.</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As part of the response to recommendation 4.1, we will work with key stakeholders to design a Digital Cultures Matched Fund for further consideration.</w:t>
            </w:r>
          </w:p>
          <w:p w:rsidR="006B70E6" w:rsidRDefault="006B70E6" w:rsidP="00363483">
            <w:pPr>
              <w:spacing w:before="120" w:after="240"/>
              <w:rPr>
                <w:lang w:eastAsia="en-AU"/>
              </w:rPr>
            </w:pPr>
            <w:r w:rsidRPr="006B70E6">
              <w:rPr>
                <w:bCs/>
                <w:lang w:eastAsia="en-AU"/>
              </w:rPr>
              <w:t>Conversations are underway within government and the sector to understand the sector and government’s support for arts and culture educational activity. These discussions are informing the most beneficial potential strategies to support digital learning and innovation.</w:t>
            </w:r>
          </w:p>
        </w:tc>
      </w:tr>
    </w:tbl>
    <w:p w:rsidR="00A122B7" w:rsidRDefault="00A122B7" w:rsidP="008110FE"/>
    <w:p w:rsidR="008110FE" w:rsidRDefault="008110FE" w:rsidP="008110FE">
      <w:pPr>
        <w:pStyle w:val="Heading1Heading1"/>
        <w:shd w:val="clear" w:color="auto" w:fill="FFFFFF" w:themeFill="background1"/>
        <w:rPr>
          <w:lang w:eastAsia="en-AU"/>
        </w:rPr>
      </w:pPr>
      <w:bookmarkStart w:id="5" w:name="_Toc17814411"/>
      <w:r w:rsidRPr="001B3877">
        <w:rPr>
          <w:lang w:eastAsia="en-AU"/>
        </w:rPr>
        <w:t>5. Ensure the Adelaide Festival Centre Trust’s venues excel</w:t>
      </w:r>
      <w:bookmarkEnd w:id="5"/>
    </w:p>
    <w:p w:rsidR="00A122B7" w:rsidRDefault="00A122B7" w:rsidP="00A122B7">
      <w:pPr>
        <w:rPr>
          <w:lang w:eastAsia="en-AU"/>
        </w:rPr>
      </w:pPr>
      <w:r>
        <w:rPr>
          <w:lang w:eastAsia="en-AU"/>
        </w:rPr>
        <w:t xml:space="preserve">Objective: </w:t>
      </w:r>
      <w:r w:rsidRPr="00A122B7">
        <w:rPr>
          <w:lang w:eastAsia="en-AU"/>
        </w:rPr>
        <w:t>ensure the Adelaide Festival Centre Trust’s newly redeveloped venues, including Her Majesty’s Theatre, enable it to take collaboration with our major performing arts companies to a new level</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5.1 Establish clear protocols and procedures to enhance collaboration between the key small to medium and major companies and organisations, to ensure the best possible artistic outcomes and best use of the publicly-owned facilities, including the AFC, for the South Australian community and its arts sector.</w:t>
            </w:r>
          </w:p>
        </w:tc>
      </w:tr>
      <w:tr w:rsidR="008110FE" w:rsidTr="00363483">
        <w:tc>
          <w:tcPr>
            <w:tcW w:w="9322" w:type="dxa"/>
          </w:tcPr>
          <w:p w:rsidR="008110FE" w:rsidRDefault="008110FE" w:rsidP="00363483">
            <w:pPr>
              <w:spacing w:before="120" w:after="240"/>
              <w:rPr>
                <w:lang w:eastAsia="en-AU"/>
              </w:rPr>
            </w:pPr>
            <w:r w:rsidRPr="008110FE">
              <w:rPr>
                <w:lang w:eastAsia="en-AU"/>
              </w:rPr>
              <w:t>Accepted - We will work with the Adelaide Festival Centre Trust and key stakeholders to implement this recommendation.</w:t>
            </w:r>
          </w:p>
          <w:p w:rsidR="006B70E6" w:rsidRDefault="006B70E6" w:rsidP="006B70E6">
            <w:pPr>
              <w:spacing w:before="120" w:after="240"/>
              <w:rPr>
                <w:lang w:eastAsia="en-AU"/>
              </w:rPr>
            </w:pPr>
            <w:r>
              <w:rPr>
                <w:lang w:eastAsia="en-AU"/>
              </w:rPr>
              <w:t>With Arts South Australia’s support, the Adelaide Festival Centre Trust and home companies are leading the delivery of this recommendation. Their ongoing discussions considering protocols and procedures to enhance sector understanding will support increased collaboration and utilisation of the Adelaide Festival Centre Trust’s venues and implementation of this recommendation.</w:t>
            </w:r>
          </w:p>
          <w:p w:rsidR="003E4EFB" w:rsidRDefault="006B70E6" w:rsidP="006B70E6">
            <w:pPr>
              <w:spacing w:before="120" w:after="240"/>
              <w:rPr>
                <w:lang w:eastAsia="en-AU"/>
              </w:rPr>
            </w:pPr>
            <w:r>
              <w:rPr>
                <w:lang w:eastAsia="en-AU"/>
              </w:rPr>
              <w:lastRenderedPageBreak/>
              <w:t xml:space="preserve">This recommendation is now closed for Arts South Australia, noting the ongoing nature of the sector’s progress </w:t>
            </w:r>
            <w:proofErr w:type="gramStart"/>
            <w:r>
              <w:rPr>
                <w:lang w:eastAsia="en-AU"/>
              </w:rPr>
              <w:t>in regards to</w:t>
            </w:r>
            <w:proofErr w:type="gramEnd"/>
            <w:r>
              <w:rPr>
                <w:lang w:eastAsia="en-AU"/>
              </w:rPr>
              <w:t xml:space="preserve"> this activity.</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lastRenderedPageBreak/>
              <w:t>5.2 Require that the Chairs and CEOs of all the resident and non-resident companies that utilise the AFC meet on a regular basis (six-monthly) to understand the scheduling and other challenges of the AFCT.</w:t>
            </w:r>
          </w:p>
        </w:tc>
      </w:tr>
      <w:tr w:rsidR="008110FE" w:rsidTr="00363483">
        <w:tc>
          <w:tcPr>
            <w:tcW w:w="9322" w:type="dxa"/>
          </w:tcPr>
          <w:p w:rsidR="008110FE" w:rsidRDefault="008110FE" w:rsidP="00363483">
            <w:pPr>
              <w:spacing w:before="120" w:after="240"/>
              <w:rPr>
                <w:lang w:eastAsia="en-AU"/>
              </w:rPr>
            </w:pPr>
            <w:r w:rsidRPr="008110FE">
              <w:rPr>
                <w:lang w:eastAsia="en-AU"/>
              </w:rPr>
              <w:t>Accepted - We will work with all stakeholders to implement this recommendation.</w:t>
            </w:r>
          </w:p>
          <w:p w:rsidR="006B70E6" w:rsidRPr="006B70E6" w:rsidRDefault="006B70E6" w:rsidP="006B70E6">
            <w:pPr>
              <w:spacing w:before="120" w:after="240"/>
              <w:rPr>
                <w:lang w:eastAsia="en-AU"/>
              </w:rPr>
            </w:pPr>
            <w:r w:rsidRPr="006B70E6">
              <w:rPr>
                <w:lang w:eastAsia="en-AU"/>
              </w:rPr>
              <w:t xml:space="preserve">The establishment of regular meetings between the organisations help support the big picture, sector ecology and visionary conversation between members as well as progressed the operation aspects of collaboration, as outlined in recommendation 5.1. </w:t>
            </w:r>
          </w:p>
          <w:p w:rsidR="006B70E6" w:rsidRPr="006B70E6" w:rsidRDefault="006B70E6" w:rsidP="006B70E6">
            <w:pPr>
              <w:spacing w:before="120" w:after="240"/>
              <w:rPr>
                <w:lang w:eastAsia="en-AU"/>
              </w:rPr>
            </w:pPr>
            <w:r w:rsidRPr="006B70E6">
              <w:rPr>
                <w:lang w:eastAsia="en-AU"/>
              </w:rPr>
              <w:t xml:space="preserve">In late 2019, The Adelaide Festival Centre Trust hosted a meeting with the Board Chairs of sector organisations, followed by a second meeting in late January 2020 hosted by Arts South Australia. The third meeting is planned, which signals the sector is now progressing and running these meetings. </w:t>
            </w:r>
          </w:p>
          <w:p w:rsidR="003E4EFB" w:rsidRDefault="006B70E6" w:rsidP="006B70E6">
            <w:pPr>
              <w:spacing w:before="120" w:after="240"/>
              <w:rPr>
                <w:lang w:eastAsia="en-AU"/>
              </w:rPr>
            </w:pPr>
            <w:r w:rsidRPr="006B70E6">
              <w:rPr>
                <w:lang w:eastAsia="en-AU"/>
              </w:rPr>
              <w:t xml:space="preserve">This recommendation is now closed for Arts South Australia, noting the ongoing nature of the sector’s progress </w:t>
            </w:r>
            <w:proofErr w:type="gramStart"/>
            <w:r w:rsidRPr="006B70E6">
              <w:rPr>
                <w:lang w:eastAsia="en-AU"/>
              </w:rPr>
              <w:t>in regards to</w:t>
            </w:r>
            <w:proofErr w:type="gramEnd"/>
            <w:r w:rsidRPr="006B70E6">
              <w:rPr>
                <w:lang w:eastAsia="en-AU"/>
              </w:rPr>
              <w:t xml:space="preserve"> this activity.</w:t>
            </w:r>
          </w:p>
        </w:tc>
      </w:tr>
    </w:tbl>
    <w:p w:rsidR="008110FE" w:rsidRDefault="008110FE" w:rsidP="008110FE">
      <w:pPr>
        <w:tabs>
          <w:tab w:val="left" w:pos="3631"/>
        </w:tabs>
      </w:pPr>
    </w:p>
    <w:p w:rsidR="008110FE" w:rsidRDefault="008110FE" w:rsidP="008110FE">
      <w:pPr>
        <w:pStyle w:val="Heading1Heading1"/>
        <w:rPr>
          <w:lang w:eastAsia="en-AU"/>
        </w:rPr>
      </w:pPr>
      <w:bookmarkStart w:id="6" w:name="_Toc17814412"/>
      <w:r w:rsidRPr="001B3877">
        <w:rPr>
          <w:lang w:eastAsia="en-AU"/>
        </w:rPr>
        <w:t>6. Examine arts governance</w:t>
      </w:r>
      <w:bookmarkEnd w:id="6"/>
      <w:r w:rsidRPr="001B3877">
        <w:rPr>
          <w:lang w:eastAsia="en-AU"/>
        </w:rPr>
        <w:t xml:space="preserve"> </w:t>
      </w:r>
    </w:p>
    <w:p w:rsidR="00A122B7" w:rsidRDefault="00A122B7" w:rsidP="00A122B7">
      <w:pPr>
        <w:rPr>
          <w:lang w:eastAsia="en-AU"/>
        </w:rPr>
      </w:pPr>
      <w:r>
        <w:rPr>
          <w:lang w:eastAsia="en-AU"/>
        </w:rPr>
        <w:t xml:space="preserve">Objective: </w:t>
      </w:r>
      <w:r w:rsidRPr="00A122B7">
        <w:rPr>
          <w:lang w:eastAsia="en-AU"/>
        </w:rPr>
        <w:t>examine arts governance and encourage more resourcefulness, tasking our arts boards to have a stronger focus on diversifying funding sources, but at the same time looking to provide rolling triennial funding to arts organisations to improve their opportunities for long term planning</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6.1 Establish a comprehensive Board capacity development program for South Australian arts organisations.</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will investigate suitable options to deliver a comprehensive Board capacity development program for South Australian arts organisations.</w:t>
            </w:r>
          </w:p>
          <w:p w:rsidR="00D8043C" w:rsidRPr="00D8043C" w:rsidRDefault="00D8043C" w:rsidP="00D8043C">
            <w:pPr>
              <w:spacing w:before="120" w:after="240"/>
              <w:rPr>
                <w:lang w:eastAsia="en-AU"/>
              </w:rPr>
            </w:pPr>
            <w:r w:rsidRPr="00D8043C">
              <w:rPr>
                <w:lang w:eastAsia="en-AU"/>
              </w:rPr>
              <w:t>Work has commenced on developing the Board Capacity Development Program to support South Australian arts and culture organisations boards to increase governance skills across the arts and cultural sector. </w:t>
            </w:r>
          </w:p>
          <w:p w:rsidR="003E4EFB" w:rsidRDefault="00D8043C" w:rsidP="00D8043C">
            <w:pPr>
              <w:spacing w:before="120" w:after="240"/>
              <w:rPr>
                <w:lang w:eastAsia="en-AU"/>
              </w:rPr>
            </w:pPr>
            <w:r w:rsidRPr="00D8043C">
              <w:rPr>
                <w:lang w:eastAsia="en-AU"/>
              </w:rPr>
              <w:t>Consideration is being given to the needs of the varying types of boards across the arts sector, ranging from the volunteer boards of the small to medium and major organisations through to government-appointed boards of statutory authorities and public corporations.</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6.2 Source and allocate support for a full-time senior representative of Creative Partnerships Australia serving South Australia and to be based in Adelaide.</w:t>
            </w:r>
          </w:p>
        </w:tc>
      </w:tr>
      <w:tr w:rsidR="008110FE" w:rsidTr="00363483">
        <w:tc>
          <w:tcPr>
            <w:tcW w:w="9322" w:type="dxa"/>
          </w:tcPr>
          <w:p w:rsidR="008110FE" w:rsidRDefault="008110FE" w:rsidP="00363483">
            <w:pPr>
              <w:spacing w:before="120" w:after="240"/>
              <w:rPr>
                <w:lang w:eastAsia="en-AU"/>
              </w:rPr>
            </w:pPr>
            <w:r w:rsidRPr="008110FE">
              <w:rPr>
                <w:lang w:eastAsia="en-AU"/>
              </w:rPr>
              <w:t xml:space="preserve">Supported in-principle - We will seek support for a </w:t>
            </w:r>
            <w:proofErr w:type="gramStart"/>
            <w:r w:rsidRPr="008110FE">
              <w:rPr>
                <w:lang w:eastAsia="en-AU"/>
              </w:rPr>
              <w:t>full time</w:t>
            </w:r>
            <w:proofErr w:type="gramEnd"/>
            <w:r w:rsidRPr="008110FE">
              <w:rPr>
                <w:lang w:eastAsia="en-AU"/>
              </w:rPr>
              <w:t xml:space="preserve"> senior representative of Creative Partnerships Australia to be based in Adelaide.</w:t>
            </w:r>
          </w:p>
          <w:p w:rsidR="006B70E6" w:rsidRDefault="00D8043C" w:rsidP="006B70E6">
            <w:pPr>
              <w:spacing w:before="120" w:after="240"/>
              <w:rPr>
                <w:lang w:eastAsia="en-AU"/>
              </w:rPr>
            </w:pPr>
            <w:hyperlink r:id="rId15" w:history="1">
              <w:r w:rsidR="006B70E6" w:rsidRPr="006B70E6">
                <w:rPr>
                  <w:rStyle w:val="Hyperlink"/>
                  <w:lang w:eastAsia="en-AU"/>
                </w:rPr>
                <w:t>Creative Partnerships Australia</w:t>
              </w:r>
            </w:hyperlink>
            <w:r w:rsidR="006B70E6">
              <w:rPr>
                <w:lang w:eastAsia="en-AU"/>
              </w:rPr>
              <w:t xml:space="preserve"> create opportunities for arts and investment, bringing together the arts, donors and business for mutual benefit. </w:t>
            </w:r>
          </w:p>
          <w:p w:rsidR="006B70E6" w:rsidRDefault="006B70E6" w:rsidP="006B70E6">
            <w:pPr>
              <w:spacing w:before="120" w:after="240"/>
              <w:rPr>
                <w:lang w:eastAsia="en-AU"/>
              </w:rPr>
            </w:pPr>
            <w:r>
              <w:rPr>
                <w:lang w:eastAsia="en-AU"/>
              </w:rPr>
              <w:t>The Creative Partnerships Australia’s (CPA) State Manager position was previously split between Western Australia and South Australia, with the incumbent based in Western Australia. In early 2020, CPA announced a new role based in Adelaide – the State Manager for South Australia at 0.6FTE. The new Creative Partnerships Australia’s State Manager commenced their role in early March 2020, and Arts South Australia is working with them to contribute to and enhance their engagement with the sector and implement the intent of this recommendation.</w:t>
            </w:r>
          </w:p>
          <w:p w:rsidR="006B70E6" w:rsidRDefault="006B70E6" w:rsidP="006B70E6">
            <w:pPr>
              <w:spacing w:before="120" w:after="240"/>
              <w:rPr>
                <w:lang w:eastAsia="en-AU"/>
              </w:rPr>
            </w:pPr>
            <w:r>
              <w:rPr>
                <w:lang w:eastAsia="en-AU"/>
              </w:rPr>
              <w:t>Having an Adelaide based State Manager is providing increased opportunities for face-to-face connections between artists and organisations and investment partners outside of the sector (such as philanthropists, sponsors and entrepreneurs) to together, imagine new investment models. It is also supporting increased focus and opportunities for the South Australian sector, including the LIFT - Management Mentoring Pilot, offering 7 Arts Management Mentorships for leaders in South Australian small to medium arts organisations.</w:t>
            </w:r>
          </w:p>
          <w:p w:rsidR="00343E77" w:rsidRDefault="006B70E6" w:rsidP="006B70E6">
            <w:pPr>
              <w:spacing w:before="120" w:after="240"/>
              <w:rPr>
                <w:lang w:eastAsia="en-AU"/>
              </w:rPr>
            </w:pPr>
            <w:r>
              <w:rPr>
                <w:lang w:eastAsia="en-AU"/>
              </w:rPr>
              <w:t>This recommendation is now complete.</w:t>
            </w:r>
          </w:p>
        </w:tc>
      </w:tr>
      <w:tr w:rsidR="008110FE" w:rsidTr="008110FE">
        <w:tc>
          <w:tcPr>
            <w:tcW w:w="9322" w:type="dxa"/>
            <w:shd w:val="clear" w:color="auto" w:fill="2F5496" w:themeFill="accent1" w:themeFillShade="BF"/>
          </w:tcPr>
          <w:p w:rsidR="008110FE" w:rsidRPr="008110FE" w:rsidRDefault="008110FE" w:rsidP="008110FE">
            <w:pPr>
              <w:spacing w:before="120" w:after="120"/>
              <w:rPr>
                <w:lang w:eastAsia="en-AU"/>
              </w:rPr>
            </w:pPr>
            <w:r w:rsidRPr="008110FE">
              <w:rPr>
                <w:color w:val="FFFFFF" w:themeColor="background1"/>
                <w:lang w:eastAsia="en-AU"/>
              </w:rPr>
              <w:lastRenderedPageBreak/>
              <w:t>6.3 Undertake a five-year program to modernise and streamline the overarching governance structure for the state’s Statutory Authorities. Revisit previous work in streamlining the range of statutory and other government arts and cultural entities to support the long-term effectiveness and efficiency of these arts organisations.</w:t>
            </w:r>
          </w:p>
        </w:tc>
      </w:tr>
      <w:tr w:rsidR="008110FE" w:rsidTr="008110FE">
        <w:tc>
          <w:tcPr>
            <w:tcW w:w="9322" w:type="dxa"/>
            <w:shd w:val="clear" w:color="auto" w:fill="auto"/>
          </w:tcPr>
          <w:p w:rsidR="008110FE" w:rsidRDefault="008110FE" w:rsidP="008110FE">
            <w:pPr>
              <w:spacing w:before="120" w:after="240"/>
              <w:rPr>
                <w:lang w:eastAsia="en-AU"/>
              </w:rPr>
            </w:pPr>
            <w:r w:rsidRPr="001B3877">
              <w:rPr>
                <w:lang w:eastAsia="en-AU"/>
              </w:rPr>
              <w:t>Accepted - We will review the options and implications of this recommendation to develop a program to modernise and streamline governance struct</w:t>
            </w:r>
            <w:r w:rsidR="006B70E6">
              <w:rPr>
                <w:lang w:eastAsia="en-AU"/>
              </w:rPr>
              <w:t>ures for the state’s statutory a</w:t>
            </w:r>
            <w:r w:rsidRPr="001B3877">
              <w:rPr>
                <w:lang w:eastAsia="en-AU"/>
              </w:rPr>
              <w:t>uthorities.</w:t>
            </w:r>
          </w:p>
          <w:p w:rsidR="00D8043C" w:rsidRPr="00D8043C" w:rsidRDefault="00D8043C" w:rsidP="00D8043C">
            <w:pPr>
              <w:spacing w:before="120" w:after="240"/>
              <w:rPr>
                <w:lang w:eastAsia="en-AU"/>
              </w:rPr>
            </w:pPr>
            <w:r w:rsidRPr="00D8043C">
              <w:rPr>
                <w:lang w:eastAsia="en-AU"/>
              </w:rPr>
              <w:t xml:space="preserve">The </w:t>
            </w:r>
            <w:hyperlink r:id="rId16" w:history="1">
              <w:r w:rsidRPr="00D8043C">
                <w:rPr>
                  <w:rStyle w:val="Hyperlink"/>
                  <w:i/>
                  <w:lang w:eastAsia="en-AU"/>
                </w:rPr>
                <w:t>Statutory Authority Governance Structures Review Report</w:t>
              </w:r>
              <w:r w:rsidRPr="00D8043C">
                <w:rPr>
                  <w:rStyle w:val="Hyperlink"/>
                  <w:lang w:eastAsia="en-AU"/>
                </w:rPr>
                <w:t xml:space="preserve"> </w:t>
              </w:r>
              <w:r w:rsidRPr="00D8043C">
                <w:rPr>
                  <w:rStyle w:val="Hyperlink"/>
                  <w:i/>
                  <w:lang w:eastAsia="en-AU"/>
                </w:rPr>
                <w:t>November 2020</w:t>
              </w:r>
            </w:hyperlink>
            <w:r w:rsidRPr="00D8043C">
              <w:rPr>
                <w:i/>
                <w:lang w:eastAsia="en-AU"/>
              </w:rPr>
              <w:t xml:space="preserve"> </w:t>
            </w:r>
            <w:r w:rsidRPr="00D8043C">
              <w:rPr>
                <w:lang w:eastAsia="en-AU"/>
              </w:rPr>
              <w:t xml:space="preserve">(report) by </w:t>
            </w:r>
            <w:proofErr w:type="spellStart"/>
            <w:r w:rsidRPr="00D8043C">
              <w:rPr>
                <w:lang w:eastAsia="en-AU"/>
              </w:rPr>
              <w:t>Gherashe</w:t>
            </w:r>
            <w:proofErr w:type="spellEnd"/>
            <w:r w:rsidRPr="00D8043C">
              <w:rPr>
                <w:lang w:eastAsia="en-AU"/>
              </w:rPr>
              <w:t xml:space="preserve"> Consultants Pty Ltd considers sector strength, improved collaboration, effectiveness and efficiencies in light of changing business models and environments. The report considers priorities relating to governance structures (organisational structure or legal type) and governance practices (organisational oversight and non-operations management).</w:t>
            </w:r>
          </w:p>
          <w:p w:rsidR="00D8043C" w:rsidRPr="00D8043C" w:rsidRDefault="00D8043C" w:rsidP="00D8043C">
            <w:pPr>
              <w:spacing w:before="120" w:after="240"/>
              <w:rPr>
                <w:lang w:eastAsia="en-AU"/>
              </w:rPr>
            </w:pPr>
            <w:r w:rsidRPr="00D8043C">
              <w:rPr>
                <w:lang w:eastAsia="en-AU"/>
              </w:rPr>
              <w:t xml:space="preserve">The report makes three recommendations to government, as well as an option for future consideration. </w:t>
            </w:r>
          </w:p>
          <w:p w:rsidR="003E4EFB" w:rsidRPr="008110FE" w:rsidRDefault="00D8043C" w:rsidP="00D8043C">
            <w:pPr>
              <w:spacing w:before="120" w:after="240"/>
              <w:rPr>
                <w:lang w:eastAsia="en-AU"/>
              </w:rPr>
            </w:pPr>
            <w:r w:rsidRPr="00D8043C">
              <w:rPr>
                <w:lang w:eastAsia="en-AU"/>
              </w:rPr>
              <w:t>Government has now invited feedback from the relevant organisations as it undertakes further investigation to consider implementation of each recommendation.</w:t>
            </w:r>
          </w:p>
        </w:tc>
      </w:tr>
      <w:tr w:rsidR="008110FE" w:rsidTr="008110FE">
        <w:tc>
          <w:tcPr>
            <w:tcW w:w="9322" w:type="dxa"/>
            <w:shd w:val="clear" w:color="auto" w:fill="2F5496" w:themeFill="accent1" w:themeFillShade="BF"/>
          </w:tcPr>
          <w:p w:rsidR="008110FE" w:rsidRPr="001B3877" w:rsidRDefault="008110FE" w:rsidP="008110FE">
            <w:pPr>
              <w:spacing w:before="120" w:after="120"/>
              <w:rPr>
                <w:lang w:eastAsia="en-AU"/>
              </w:rPr>
            </w:pPr>
            <w:r w:rsidRPr="008110FE">
              <w:rPr>
                <w:color w:val="FFFFFF" w:themeColor="background1"/>
                <w:lang w:eastAsia="en-AU"/>
              </w:rPr>
              <w:t xml:space="preserve">6.4 Increase diversity across all South Australian arts boards. </w:t>
            </w:r>
            <w:proofErr w:type="gramStart"/>
            <w:r w:rsidRPr="008110FE">
              <w:rPr>
                <w:color w:val="FFFFFF" w:themeColor="background1"/>
                <w:lang w:eastAsia="en-AU"/>
              </w:rPr>
              <w:t>In particular ensure</w:t>
            </w:r>
            <w:proofErr w:type="gramEnd"/>
            <w:r w:rsidRPr="008110FE">
              <w:rPr>
                <w:color w:val="FFFFFF" w:themeColor="background1"/>
                <w:lang w:eastAsia="en-AU"/>
              </w:rPr>
              <w:t xml:space="preserve"> representation of young people, and people of Aboriginal and non-English speaking background – through specific targets and via the powers existing by the government under the Statutory Authorities.</w:t>
            </w:r>
          </w:p>
        </w:tc>
      </w:tr>
      <w:tr w:rsidR="008110FE" w:rsidTr="008110FE">
        <w:tc>
          <w:tcPr>
            <w:tcW w:w="9322" w:type="dxa"/>
            <w:shd w:val="clear" w:color="auto" w:fill="auto"/>
          </w:tcPr>
          <w:p w:rsidR="008110FE" w:rsidRDefault="008110FE" w:rsidP="008110FE">
            <w:pPr>
              <w:spacing w:before="120" w:after="240"/>
              <w:rPr>
                <w:lang w:eastAsia="en-AU"/>
              </w:rPr>
            </w:pPr>
            <w:r w:rsidRPr="008110FE">
              <w:rPr>
                <w:lang w:eastAsia="en-AU"/>
              </w:rPr>
              <w:t>Accepted - The government is committed to increasing diversity across all South Australian arts boards, building on the outcomes of the Multicultural Legislative Review 2019.</w:t>
            </w:r>
          </w:p>
          <w:p w:rsidR="003E4EFB" w:rsidRPr="008110FE" w:rsidRDefault="006B70E6" w:rsidP="003E4EFB">
            <w:pPr>
              <w:spacing w:before="120" w:after="240"/>
              <w:rPr>
                <w:lang w:eastAsia="en-AU"/>
              </w:rPr>
            </w:pPr>
            <w:r w:rsidRPr="006B70E6">
              <w:rPr>
                <w:lang w:eastAsia="en-AU"/>
              </w:rPr>
              <w:t xml:space="preserve">A review and investigation </w:t>
            </w:r>
            <w:proofErr w:type="gramStart"/>
            <w:r w:rsidRPr="006B70E6">
              <w:rPr>
                <w:lang w:eastAsia="en-AU"/>
              </w:rPr>
              <w:t>is</w:t>
            </w:r>
            <w:proofErr w:type="gramEnd"/>
            <w:r w:rsidRPr="006B70E6">
              <w:rPr>
                <w:lang w:eastAsia="en-AU"/>
              </w:rPr>
              <w:t xml:space="preserve"> underway to develop a program to assist in increasing diversity across all South Australian arts boards. The project is considering best practice in this area in order to effectively engage with our changing society. This is line with the national agenda.</w:t>
            </w:r>
          </w:p>
        </w:tc>
      </w:tr>
      <w:tr w:rsidR="008110FE" w:rsidTr="008110FE">
        <w:tc>
          <w:tcPr>
            <w:tcW w:w="9322" w:type="dxa"/>
            <w:shd w:val="clear" w:color="auto" w:fill="2F5496" w:themeFill="accent1" w:themeFillShade="BF"/>
          </w:tcPr>
          <w:p w:rsidR="008110FE" w:rsidRPr="008110FE" w:rsidRDefault="008110FE" w:rsidP="008110FE">
            <w:pPr>
              <w:spacing w:before="120" w:after="120"/>
              <w:rPr>
                <w:lang w:eastAsia="en-AU"/>
              </w:rPr>
            </w:pPr>
            <w:r w:rsidRPr="008110FE">
              <w:rPr>
                <w:color w:val="FFFFFF" w:themeColor="background1"/>
                <w:lang w:eastAsia="en-AU"/>
              </w:rPr>
              <w:lastRenderedPageBreak/>
              <w:t>6.5 Promote increased utilisation of the Australian Cultural Fund run by Creative Partnerships Australia.</w:t>
            </w:r>
          </w:p>
        </w:tc>
      </w:tr>
      <w:tr w:rsidR="008110FE" w:rsidTr="008110FE">
        <w:tc>
          <w:tcPr>
            <w:tcW w:w="9322" w:type="dxa"/>
            <w:shd w:val="clear" w:color="auto" w:fill="auto"/>
          </w:tcPr>
          <w:p w:rsidR="008110FE" w:rsidRDefault="008110FE" w:rsidP="008110FE">
            <w:pPr>
              <w:spacing w:before="120" w:after="240"/>
              <w:rPr>
                <w:lang w:eastAsia="en-AU"/>
              </w:rPr>
            </w:pPr>
            <w:r w:rsidRPr="008110FE">
              <w:rPr>
                <w:lang w:eastAsia="en-AU"/>
              </w:rPr>
              <w:t>Accepted - Work will be progressed to promote the utilisation of the Australian Cultural Fund.</w:t>
            </w:r>
          </w:p>
          <w:p w:rsidR="006B70E6" w:rsidRDefault="006B70E6" w:rsidP="006B70E6">
            <w:pPr>
              <w:spacing w:before="120" w:after="240"/>
              <w:rPr>
                <w:lang w:eastAsia="en-AU"/>
              </w:rPr>
            </w:pPr>
            <w:r>
              <w:rPr>
                <w:lang w:eastAsia="en-AU"/>
              </w:rPr>
              <w:t xml:space="preserve">Arts South Australia has worked with the SA-based Creative Partnerships Manager to increase promotion of the Australian Cultural Fund with a view to supporting improvements in non-government income generation by the arts and cultural sector. Promotion of the Australian Cultural Fund has been embedded in Arts South Australia’s Arts and Culture Grant Program, and ongoing promotional activities will be undertaken by Arts South Australia and Creative Partnerships Australia. </w:t>
            </w:r>
          </w:p>
          <w:p w:rsidR="00343E77" w:rsidRPr="008110FE" w:rsidRDefault="006B70E6" w:rsidP="006B70E6">
            <w:pPr>
              <w:spacing w:before="120" w:after="240"/>
              <w:rPr>
                <w:lang w:eastAsia="en-AU"/>
              </w:rPr>
            </w:pPr>
            <w:r>
              <w:rPr>
                <w:lang w:eastAsia="en-AU"/>
              </w:rPr>
              <w:t>This recommendation is now complete.</w:t>
            </w:r>
            <w:r w:rsidR="00343E77">
              <w:rPr>
                <w:lang w:eastAsia="en-AU"/>
              </w:rPr>
              <w:t xml:space="preserve"> </w:t>
            </w:r>
          </w:p>
        </w:tc>
      </w:tr>
    </w:tbl>
    <w:p w:rsidR="00A122B7" w:rsidRDefault="00A122B7"/>
    <w:p w:rsidR="008110FE" w:rsidRDefault="008110FE" w:rsidP="008110FE">
      <w:pPr>
        <w:pStyle w:val="Heading1Heading1"/>
        <w:rPr>
          <w:lang w:eastAsia="en-AU"/>
        </w:rPr>
      </w:pPr>
      <w:bookmarkStart w:id="7" w:name="_Toc17814413"/>
      <w:r w:rsidRPr="001B3877">
        <w:rPr>
          <w:lang w:eastAsia="en-AU"/>
        </w:rPr>
        <w:t>7. Ensure a whole-of-government approach</w:t>
      </w:r>
      <w:bookmarkEnd w:id="7"/>
      <w:r w:rsidRPr="001B3877">
        <w:rPr>
          <w:lang w:eastAsia="en-AU"/>
        </w:rPr>
        <w:t xml:space="preserve"> </w:t>
      </w:r>
    </w:p>
    <w:p w:rsidR="00A122B7" w:rsidRDefault="00A122B7" w:rsidP="00A122B7">
      <w:pPr>
        <w:rPr>
          <w:lang w:eastAsia="en-AU"/>
        </w:rPr>
      </w:pPr>
      <w:r>
        <w:rPr>
          <w:lang w:eastAsia="en-AU"/>
        </w:rPr>
        <w:t>Objective:</w:t>
      </w:r>
      <w:r w:rsidRPr="00A122B7">
        <w:t xml:space="preserve"> </w:t>
      </w:r>
      <w:r w:rsidRPr="00A122B7">
        <w:rPr>
          <w:lang w:eastAsia="en-AU"/>
        </w:rPr>
        <w:t xml:space="preserve">ensure that through a whole-of-government approach, the benefits of the Arts and Culture Plan 2019-2024 </w:t>
      </w:r>
      <w:proofErr w:type="gramStart"/>
      <w:r w:rsidRPr="00A122B7">
        <w:rPr>
          <w:lang w:eastAsia="en-AU"/>
        </w:rPr>
        <w:t>is able to</w:t>
      </w:r>
      <w:proofErr w:type="gramEnd"/>
      <w:r w:rsidRPr="00A122B7">
        <w:rPr>
          <w:lang w:eastAsia="en-AU"/>
        </w:rPr>
        <w:t xml:space="preserve"> be realised across the range of sectors where the community interacts with government</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7.1 Develop a whole of government measurement framework.</w:t>
            </w:r>
          </w:p>
        </w:tc>
      </w:tr>
      <w:tr w:rsidR="008110FE" w:rsidTr="00363483">
        <w:tc>
          <w:tcPr>
            <w:tcW w:w="9322" w:type="dxa"/>
          </w:tcPr>
          <w:p w:rsidR="008110FE" w:rsidRDefault="008110FE" w:rsidP="00363483">
            <w:pPr>
              <w:spacing w:before="120" w:after="240"/>
              <w:rPr>
                <w:lang w:eastAsia="en-AU"/>
              </w:rPr>
            </w:pPr>
            <w:r w:rsidRPr="008110FE">
              <w:rPr>
                <w:lang w:eastAsia="en-AU"/>
              </w:rPr>
              <w:t>Accepted - In collaboration with key stakeholders, we will review existing frameworks and measures to inform the development of a whole of government measures framework.</w:t>
            </w:r>
          </w:p>
          <w:p w:rsidR="006B70E6" w:rsidRDefault="006B70E6" w:rsidP="006B70E6">
            <w:pPr>
              <w:spacing w:before="120" w:after="240"/>
              <w:rPr>
                <w:lang w:eastAsia="en-AU"/>
              </w:rPr>
            </w:pPr>
            <w:r>
              <w:rPr>
                <w:lang w:eastAsia="en-AU"/>
              </w:rPr>
              <w:t xml:space="preserve">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 </w:t>
            </w:r>
          </w:p>
          <w:p w:rsidR="003E4EFB" w:rsidRDefault="006B70E6" w:rsidP="006B70E6">
            <w:pPr>
              <w:spacing w:before="120" w:after="240"/>
              <w:rPr>
                <w:lang w:eastAsia="en-AU"/>
              </w:rPr>
            </w:pPr>
            <w:r>
              <w:rPr>
                <w:lang w:eastAsia="en-AU"/>
              </w:rPr>
              <w:t>While work in earnest on this recommendation has not commenced, we continue to note measurement frameworks evolving elsewhere to inform this work.</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7.2 Devise a coordinated set of Arts and Culture targets across relevant ministries to support the delivery of programs achieving social outcomes and impacts from arts and cultural focused activity.</w:t>
            </w:r>
          </w:p>
        </w:tc>
      </w:tr>
      <w:tr w:rsidR="008110FE" w:rsidTr="00363483">
        <w:tc>
          <w:tcPr>
            <w:tcW w:w="9322" w:type="dxa"/>
          </w:tcPr>
          <w:p w:rsidR="008110FE" w:rsidRDefault="008110FE" w:rsidP="00363483">
            <w:pPr>
              <w:spacing w:before="120" w:after="240"/>
              <w:rPr>
                <w:lang w:eastAsia="en-AU"/>
              </w:rPr>
            </w:pPr>
            <w:r w:rsidRPr="008110FE">
              <w:rPr>
                <w:lang w:eastAsia="en-AU"/>
              </w:rPr>
              <w:t>Accepted - We will develop coordinated arts and culture targets across government.</w:t>
            </w:r>
          </w:p>
          <w:p w:rsidR="006B70E6" w:rsidRDefault="006B70E6" w:rsidP="006B70E6">
            <w:pPr>
              <w:spacing w:before="120" w:after="240"/>
              <w:rPr>
                <w:lang w:eastAsia="en-AU"/>
              </w:rPr>
            </w:pPr>
            <w:r>
              <w:rPr>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w:t>
            </w:r>
          </w:p>
          <w:p w:rsidR="006B70E6" w:rsidRDefault="006B70E6" w:rsidP="006B70E6">
            <w:pPr>
              <w:spacing w:before="120" w:after="240"/>
              <w:rPr>
                <w:lang w:eastAsia="en-AU"/>
              </w:rPr>
            </w:pPr>
            <w:r>
              <w:rPr>
                <w:lang w:eastAsia="en-AU"/>
              </w:rPr>
              <w:t xml:space="preserve">We continue to work in partnership with the sector or provide advice and support as appropriate. </w:t>
            </w:r>
          </w:p>
          <w:p w:rsidR="003E4EFB" w:rsidRDefault="006B70E6" w:rsidP="006B70E6">
            <w:pPr>
              <w:spacing w:before="120" w:after="240"/>
              <w:rPr>
                <w:lang w:eastAsia="en-AU"/>
              </w:rPr>
            </w:pPr>
            <w:r>
              <w:rPr>
                <w:lang w:eastAsia="en-AU"/>
              </w:rPr>
              <w:lastRenderedPageBreak/>
              <w:t>Recent engagement with Wellbeing SA has seen arts and culture grants with a wellbeing focus, in response to COVID-19, approved through its program of investment. Projects like this will support broader targets to be established later.</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lastRenderedPageBreak/>
              <w:t xml:space="preserve">7.3 Initiate a role in DPC with an arts and cultural, cross government, departmental liaison function to assist the arts sector </w:t>
            </w:r>
            <w:r w:rsidR="00A122B7">
              <w:rPr>
                <w:color w:val="FFFFFF" w:themeColor="background1"/>
                <w:lang w:eastAsia="en-AU"/>
              </w:rPr>
              <w:t xml:space="preserve">to </w:t>
            </w:r>
            <w:r w:rsidRPr="008110FE">
              <w:rPr>
                <w:color w:val="FFFFFF" w:themeColor="background1"/>
                <w:lang w:eastAsia="en-AU"/>
              </w:rPr>
              <w:t>connect and link across various departments and policies.</w:t>
            </w:r>
          </w:p>
        </w:tc>
      </w:tr>
      <w:tr w:rsidR="008110FE" w:rsidTr="00363483">
        <w:tc>
          <w:tcPr>
            <w:tcW w:w="9322" w:type="dxa"/>
            <w:shd w:val="clear" w:color="auto" w:fill="auto"/>
          </w:tcPr>
          <w:p w:rsidR="008110FE" w:rsidRDefault="008110FE" w:rsidP="00363483">
            <w:pPr>
              <w:spacing w:before="120" w:after="240"/>
              <w:rPr>
                <w:lang w:eastAsia="en-AU"/>
              </w:rPr>
            </w:pPr>
            <w:r w:rsidRPr="008110FE">
              <w:rPr>
                <w:lang w:eastAsia="en-AU"/>
              </w:rPr>
              <w:t xml:space="preserve">Accepted - Arts South Australia will identify a liaison function to assist the arts sector </w:t>
            </w:r>
            <w:r w:rsidR="00A122B7">
              <w:rPr>
                <w:lang w:eastAsia="en-AU"/>
              </w:rPr>
              <w:t xml:space="preserve">to </w:t>
            </w:r>
            <w:r w:rsidRPr="008110FE">
              <w:rPr>
                <w:lang w:eastAsia="en-AU"/>
              </w:rPr>
              <w:t>connect and link across various departments and policies.</w:t>
            </w:r>
          </w:p>
          <w:p w:rsidR="003E4EFB" w:rsidRPr="008110FE" w:rsidRDefault="006B70E6" w:rsidP="003E4EFB">
            <w:pPr>
              <w:spacing w:before="120" w:after="240"/>
              <w:rPr>
                <w:lang w:eastAsia="en-AU"/>
              </w:rPr>
            </w:pPr>
            <w:r w:rsidRPr="006B70E6">
              <w:rPr>
                <w:lang w:eastAsia="en-AU"/>
              </w:rPr>
              <w:t>The South Australian Government has determined that this role will be fulfilled by the Director, Arts South Australia with the support of Arts South Australia staff. The Director fulfils the cross-government liaison function and, supported by the Arts Plan Advisory Group and departmental staff, can collaborate with the arts sector to connect and link across various departments and policies.</w:t>
            </w:r>
          </w:p>
        </w:tc>
      </w:tr>
    </w:tbl>
    <w:p w:rsidR="00A122B7" w:rsidRDefault="00A122B7"/>
    <w:p w:rsidR="008110FE" w:rsidRDefault="008110FE" w:rsidP="008110FE">
      <w:pPr>
        <w:pStyle w:val="Heading1Heading1"/>
        <w:rPr>
          <w:lang w:eastAsia="en-AU"/>
        </w:rPr>
      </w:pPr>
      <w:bookmarkStart w:id="8" w:name="_Toc17814414"/>
      <w:r w:rsidRPr="001B3877">
        <w:rPr>
          <w:lang w:eastAsia="en-AU"/>
        </w:rPr>
        <w:t>8. Explore new partnerships and collaborations</w:t>
      </w:r>
      <w:bookmarkEnd w:id="8"/>
    </w:p>
    <w:p w:rsidR="00A122B7" w:rsidRDefault="00A122B7" w:rsidP="00A122B7">
      <w:pPr>
        <w:rPr>
          <w:lang w:eastAsia="en-AU"/>
        </w:rPr>
      </w:pPr>
      <w:r>
        <w:rPr>
          <w:lang w:eastAsia="en-AU"/>
        </w:rPr>
        <w:t xml:space="preserve">Objective: </w:t>
      </w:r>
      <w:proofErr w:type="gramStart"/>
      <w:r w:rsidRPr="00A122B7">
        <w:rPr>
          <w:lang w:eastAsia="en-AU"/>
        </w:rPr>
        <w:t>the</w:t>
      </w:r>
      <w:proofErr w:type="gramEnd"/>
      <w:r w:rsidRPr="00A122B7">
        <w:rPr>
          <w:lang w:eastAsia="en-AU"/>
        </w:rPr>
        <w:t xml:space="preserve"> Arts Plan will explore and consider new opportunities for new partnerships and collaborations</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8.1 Establish a collaborative fund, in support of the development and delivery of projects that result from collaboration between two or more creative partners.</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As per recommendation 2.5, an arts organisations collaboration funding model will be developed for consideration by government as part of the State Budget process.</w:t>
            </w:r>
          </w:p>
          <w:p w:rsidR="006B70E6" w:rsidRPr="006B70E6" w:rsidRDefault="006B70E6" w:rsidP="006B70E6">
            <w:pPr>
              <w:spacing w:before="120" w:after="240"/>
              <w:rPr>
                <w:lang w:eastAsia="en-AU"/>
              </w:rPr>
            </w:pPr>
            <w:r w:rsidRPr="006B70E6">
              <w:rPr>
                <w:lang w:eastAsia="en-AU"/>
              </w:rPr>
              <w:t>The COVID-19 Arts Grants Support funding program delivered in early 2020 included a pilot Arts Organisations Collaboration grants category – for major arts and cultural organisations, the small-to-medium sector and independent artists to collaborate with the intent to support the development of new work in new ways and explore true cross-sector collaboration as resources and knowledge are shared for mutual benefit.  </w:t>
            </w:r>
          </w:p>
          <w:p w:rsidR="006B70E6" w:rsidRPr="006B70E6" w:rsidRDefault="006B70E6" w:rsidP="006B70E6">
            <w:pPr>
              <w:spacing w:before="120" w:after="240"/>
              <w:rPr>
                <w:lang w:eastAsia="en-AU"/>
              </w:rPr>
            </w:pPr>
            <w:r w:rsidRPr="006B70E6">
              <w:rPr>
                <w:lang w:eastAsia="en-AU"/>
              </w:rPr>
              <w:t xml:space="preserve">The findings of this pilot grant category have informed the </w:t>
            </w:r>
            <w:hyperlink r:id="rId17" w:history="1">
              <w:r w:rsidRPr="006B70E6">
                <w:rPr>
                  <w:rStyle w:val="Hyperlink"/>
                  <w:lang w:eastAsia="en-AU"/>
                </w:rPr>
                <w:t>Major Projects - Collaboration</w:t>
              </w:r>
            </w:hyperlink>
            <w:r w:rsidRPr="006B70E6">
              <w:rPr>
                <w:lang w:eastAsia="en-AU"/>
              </w:rPr>
              <w:t xml:space="preserve"> grants category included in the new grants funding model launched in August 2020.</w:t>
            </w:r>
          </w:p>
          <w:p w:rsidR="006B70E6" w:rsidRPr="006B70E6" w:rsidRDefault="006B70E6" w:rsidP="006B70E6">
            <w:pPr>
              <w:spacing w:before="120" w:after="240"/>
              <w:rPr>
                <w:lang w:eastAsia="en-AU"/>
              </w:rPr>
            </w:pPr>
            <w:r w:rsidRPr="006B70E6">
              <w:rPr>
                <w:lang w:eastAsia="en-AU"/>
              </w:rPr>
              <w:t xml:space="preserve">A second phase of the pilot will run with increased funds in the later part of 2020. Expanded guidelines are currently being prepared. </w:t>
            </w:r>
          </w:p>
          <w:p w:rsidR="00564000" w:rsidRDefault="006B70E6" w:rsidP="006B70E6">
            <w:pPr>
              <w:spacing w:before="120" w:after="240"/>
              <w:rPr>
                <w:lang w:eastAsia="en-AU"/>
              </w:rPr>
            </w:pPr>
            <w:r w:rsidRPr="006B70E6">
              <w:rPr>
                <w:lang w:eastAsia="en-AU"/>
              </w:rPr>
              <w:t xml:space="preserve">This recommendation is now complete. </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8.2 Initiate a program to support the development of content from across several institutions to collectively tell The Story of South Australia.</w:t>
            </w:r>
          </w:p>
        </w:tc>
      </w:tr>
      <w:tr w:rsidR="008110FE" w:rsidTr="00363483">
        <w:tc>
          <w:tcPr>
            <w:tcW w:w="9322" w:type="dxa"/>
          </w:tcPr>
          <w:p w:rsidR="008110FE" w:rsidRDefault="008110FE" w:rsidP="00363483">
            <w:pPr>
              <w:spacing w:before="120" w:after="240"/>
              <w:rPr>
                <w:lang w:eastAsia="en-AU"/>
              </w:rPr>
            </w:pPr>
            <w:r w:rsidRPr="008110FE">
              <w:rPr>
                <w:lang w:eastAsia="en-AU"/>
              </w:rPr>
              <w:t>Supported in-principle - We will work with key institutions and stakeholders to investigate the options to collectively develop The Story of South Australia.</w:t>
            </w:r>
          </w:p>
          <w:p w:rsidR="003E4EFB" w:rsidRDefault="00D8043C" w:rsidP="006B70E6">
            <w:pPr>
              <w:spacing w:before="120" w:after="240"/>
              <w:rPr>
                <w:lang w:eastAsia="en-AU"/>
              </w:rPr>
            </w:pPr>
            <w:r w:rsidRPr="00D8043C">
              <w:rPr>
                <w:lang w:eastAsia="en-AU"/>
              </w:rPr>
              <w:t xml:space="preserve">The Story of South Australia will be a collaborative project, to which South Australian collecting institutions can contribute. This project is currently being developed as a digital pilot </w:t>
            </w:r>
            <w:r w:rsidRPr="00D8043C">
              <w:rPr>
                <w:lang w:eastAsia="en-AU"/>
              </w:rPr>
              <w:lastRenderedPageBreak/>
              <w:t>(connected to Recommendation 4.1), as the launching point to tell The Story of South Australia. It will be an exploratory project that will demonstrate what could be achieved longer term both in terms of the mechanism for showcasing the collections, as well as explore curatorial thinking around the development and presentation of arts and cultural collections as The Story of South Australia.</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lastRenderedPageBreak/>
              <w:t xml:space="preserve">8.3 Establish an </w:t>
            </w:r>
            <w:r w:rsidRPr="008110FE">
              <w:rPr>
                <w:i/>
                <w:color w:val="FFFFFF" w:themeColor="background1"/>
                <w:lang w:eastAsia="en-AU"/>
              </w:rPr>
              <w:t>Adelaide 100 Objects Walk.</w:t>
            </w:r>
          </w:p>
        </w:tc>
      </w:tr>
      <w:tr w:rsidR="008110FE" w:rsidTr="00363483">
        <w:tc>
          <w:tcPr>
            <w:tcW w:w="9322" w:type="dxa"/>
            <w:shd w:val="clear" w:color="auto" w:fill="auto"/>
          </w:tcPr>
          <w:p w:rsidR="008110FE" w:rsidRDefault="008110FE" w:rsidP="00363483">
            <w:pPr>
              <w:spacing w:before="120" w:after="240"/>
              <w:rPr>
                <w:lang w:eastAsia="en-AU"/>
              </w:rPr>
            </w:pPr>
            <w:r w:rsidRPr="008110FE">
              <w:rPr>
                <w:lang w:eastAsia="en-AU"/>
              </w:rPr>
              <w:t>Supported in-principle - In collaboration with key stakeholders, we will explore the options to implement this recommendation.</w:t>
            </w:r>
          </w:p>
          <w:p w:rsidR="00D8043C" w:rsidRPr="00D8043C" w:rsidRDefault="00D8043C" w:rsidP="00D8043C">
            <w:pPr>
              <w:spacing w:before="120" w:after="240"/>
              <w:rPr>
                <w:iCs/>
                <w:lang w:eastAsia="en-AU"/>
              </w:rPr>
            </w:pPr>
            <w:r w:rsidRPr="00D8043C">
              <w:rPr>
                <w:iCs/>
                <w:lang w:eastAsia="en-AU"/>
              </w:rPr>
              <w:t xml:space="preserve">Arts South Australia has provided funding to support the City of Adelaide to develop and produce an Art Publication which will celebrate Adelaide as a Creative City and aims to tell the history of Adelaide through a presentation of 100 local artworks and objects. </w:t>
            </w:r>
          </w:p>
          <w:p w:rsidR="00343E77" w:rsidRPr="006B70E6" w:rsidRDefault="00D8043C" w:rsidP="00D8043C">
            <w:pPr>
              <w:spacing w:before="120" w:after="240"/>
              <w:rPr>
                <w:lang w:eastAsia="en-AU"/>
              </w:rPr>
            </w:pPr>
            <w:r w:rsidRPr="00D8043C">
              <w:rPr>
                <w:iCs/>
                <w:lang w:eastAsia="en-AU"/>
              </w:rPr>
              <w:t>The publication will present artworks and objects to tell the story of Adelaide’s unique identity, reflecting Kaurna cultures and histories, whilst highlighting and celebrating Adelaide’s reputation as a Creative City. Works will be drawn from the collections of Adelaide’s major collecting institutions and private museums, representing a range of public art, memorials, architecture and artefacts.</w:t>
            </w:r>
          </w:p>
        </w:tc>
      </w:tr>
      <w:tr w:rsidR="008110FE" w:rsidTr="008110FE">
        <w:tc>
          <w:tcPr>
            <w:tcW w:w="9322" w:type="dxa"/>
            <w:shd w:val="clear" w:color="auto" w:fill="2F5496" w:themeFill="accent1" w:themeFillShade="BF"/>
          </w:tcPr>
          <w:p w:rsidR="008110FE" w:rsidRPr="008110FE" w:rsidRDefault="008110FE" w:rsidP="008110FE">
            <w:pPr>
              <w:spacing w:before="120" w:after="120"/>
              <w:rPr>
                <w:lang w:eastAsia="en-AU"/>
              </w:rPr>
            </w:pPr>
            <w:r w:rsidRPr="008110FE">
              <w:rPr>
                <w:color w:val="FFFFFF" w:themeColor="background1"/>
                <w:lang w:eastAsia="en-AU"/>
              </w:rPr>
              <w:t>8.4 Devise and develop a Cultural Ambassadors Program.</w:t>
            </w:r>
          </w:p>
        </w:tc>
      </w:tr>
      <w:tr w:rsidR="008110FE" w:rsidTr="00363483">
        <w:tc>
          <w:tcPr>
            <w:tcW w:w="9322" w:type="dxa"/>
            <w:shd w:val="clear" w:color="auto" w:fill="auto"/>
          </w:tcPr>
          <w:p w:rsidR="008110FE" w:rsidRDefault="008110FE" w:rsidP="00363483">
            <w:pPr>
              <w:spacing w:before="120" w:after="240"/>
              <w:rPr>
                <w:lang w:eastAsia="en-AU"/>
              </w:rPr>
            </w:pPr>
            <w:r w:rsidRPr="008110FE">
              <w:rPr>
                <w:lang w:eastAsia="en-AU"/>
              </w:rPr>
              <w:t>Supported in-principle - A program will be developed in collaboration with the sector for further consideration.</w:t>
            </w:r>
          </w:p>
          <w:p w:rsidR="003E4EFB" w:rsidRPr="006B70E6" w:rsidRDefault="006B70E6" w:rsidP="003E4EFB">
            <w:pPr>
              <w:spacing w:before="120" w:after="240"/>
              <w:rPr>
                <w:lang w:eastAsia="en-AU"/>
              </w:rPr>
            </w:pPr>
            <w:r w:rsidRPr="006B70E6">
              <w:rPr>
                <w:lang w:eastAsia="en-AU"/>
              </w:rPr>
              <w:t>A program is under development which will provide leadership and encourage and strengthen collaboration between sector tiers, and across art forms. Work has progressed with the scope of this program, and the function of the Cultural Ambassadors. This has also taken into consideration the impact of COVID-19, and the opportunities and impetus it provides for the sector along with broader opportunities for collaboration.</w:t>
            </w:r>
          </w:p>
        </w:tc>
      </w:tr>
    </w:tbl>
    <w:p w:rsidR="00A122B7" w:rsidRDefault="00A122B7"/>
    <w:p w:rsidR="008110FE" w:rsidRDefault="008110FE" w:rsidP="008110FE">
      <w:pPr>
        <w:pStyle w:val="Heading1Heading1"/>
        <w:rPr>
          <w:lang w:eastAsia="en-AU"/>
        </w:rPr>
      </w:pPr>
      <w:bookmarkStart w:id="9" w:name="_Toc17814415"/>
      <w:r w:rsidRPr="001B3877">
        <w:rPr>
          <w:lang w:eastAsia="en-AU"/>
        </w:rPr>
        <w:t>9. Aboriginal arts and culture</w:t>
      </w:r>
      <w:bookmarkEnd w:id="9"/>
      <w:r w:rsidRPr="001B3877">
        <w:rPr>
          <w:lang w:eastAsia="en-AU"/>
        </w:rPr>
        <w:t xml:space="preserve"> </w:t>
      </w:r>
    </w:p>
    <w:p w:rsidR="00A122B7" w:rsidRDefault="00A122B7" w:rsidP="00A122B7">
      <w:pPr>
        <w:rPr>
          <w:lang w:eastAsia="en-AU"/>
        </w:rPr>
      </w:pPr>
      <w:r>
        <w:rPr>
          <w:lang w:eastAsia="en-AU"/>
        </w:rPr>
        <w:t xml:space="preserve">Objective: </w:t>
      </w:r>
      <w:r w:rsidRPr="00A122B7">
        <w:rPr>
          <w:lang w:eastAsia="en-AU"/>
        </w:rPr>
        <w:t>Aboriginal arts and culture – what are the strengths and opportunities?</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9.1 Commit to the release of an Aboriginal and Torres Strait Arts Strategy for South Australia that captures the previous consultation and strategy work undertaken for this purpose.</w:t>
            </w:r>
          </w:p>
        </w:tc>
      </w:tr>
      <w:tr w:rsidR="008110FE" w:rsidTr="00363483">
        <w:tc>
          <w:tcPr>
            <w:tcW w:w="9322" w:type="dxa"/>
          </w:tcPr>
          <w:p w:rsidR="008110FE" w:rsidRDefault="001F5CEE" w:rsidP="00363483">
            <w:pPr>
              <w:spacing w:before="120" w:after="240"/>
              <w:rPr>
                <w:lang w:eastAsia="en-AU"/>
              </w:rPr>
            </w:pPr>
            <w:r w:rsidRPr="001F5CEE">
              <w:rPr>
                <w:lang w:eastAsia="en-AU"/>
              </w:rPr>
              <w:t>Accepted - An updated Aboriginal and Torres Strait Islander Arts Strategy will be developed.</w:t>
            </w:r>
          </w:p>
          <w:p w:rsidR="00D8043C" w:rsidRPr="00D8043C" w:rsidRDefault="00D8043C" w:rsidP="00D8043C">
            <w:pPr>
              <w:spacing w:before="120" w:after="240"/>
              <w:rPr>
                <w:lang w:eastAsia="en-AU"/>
              </w:rPr>
            </w:pPr>
            <w:r w:rsidRPr="00D8043C">
              <w:rPr>
                <w:lang w:eastAsia="en-AU"/>
              </w:rPr>
              <w:t>Arts South Australia is currently in the process of consultation and stakeholder engagement with Aboriginal and Torres Strait Islander communities, the wider arts sector and creative industries.</w:t>
            </w:r>
          </w:p>
          <w:p w:rsidR="00343E77" w:rsidRDefault="00D8043C" w:rsidP="00D8043C">
            <w:pPr>
              <w:spacing w:before="120" w:after="240"/>
              <w:rPr>
                <w:lang w:eastAsia="en-AU"/>
              </w:rPr>
            </w:pPr>
            <w:r w:rsidRPr="00D8043C">
              <w:rPr>
                <w:lang w:eastAsia="en-AU"/>
              </w:rPr>
              <w:t xml:space="preserve">The development of the Aboriginal and Torres Strait Islander Arts Strategy is underpinned and guided by a set of cultural values and will provide the government with cohesive and clear direction for long-term growth in the sector. The strategy will enable the government to consider a range of options that will allow it to better meet the needs of the Aboriginal arts and culture sector in South Australia, such as expanded and new programs with tangible </w:t>
            </w:r>
            <w:r w:rsidRPr="00D8043C">
              <w:rPr>
                <w:lang w:eastAsia="en-AU"/>
              </w:rPr>
              <w:lastRenderedPageBreak/>
              <w:t>outcomes, increased community resources, artistic outcomes and enhanced wellbeing for Aboriginal communities.</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lastRenderedPageBreak/>
              <w:t>9.2 Build leadership pathways and cultural career pathways and opportunities.</w:t>
            </w:r>
          </w:p>
        </w:tc>
      </w:tr>
      <w:tr w:rsidR="008110FE" w:rsidTr="00363483">
        <w:tc>
          <w:tcPr>
            <w:tcW w:w="9322" w:type="dxa"/>
          </w:tcPr>
          <w:p w:rsidR="008110FE" w:rsidRDefault="0099308E" w:rsidP="00363483">
            <w:pPr>
              <w:spacing w:before="120" w:after="240"/>
              <w:rPr>
                <w:lang w:eastAsia="en-AU"/>
              </w:rPr>
            </w:pPr>
            <w:r w:rsidRPr="0099308E">
              <w:rPr>
                <w:lang w:eastAsia="en-AU"/>
              </w:rPr>
              <w:t xml:space="preserve">Accepted - We will align existing programs with other government initiatives, such as the Aboriginal Art and Cultures </w:t>
            </w:r>
            <w:r w:rsidR="006B70E6">
              <w:rPr>
                <w:lang w:eastAsia="en-AU"/>
              </w:rPr>
              <w:t>Centre</w:t>
            </w:r>
            <w:r w:rsidRPr="0099308E">
              <w:rPr>
                <w:lang w:eastAsia="en-AU"/>
              </w:rPr>
              <w:t>, to deliver this recommendation.</w:t>
            </w:r>
          </w:p>
          <w:p w:rsidR="006B70E6" w:rsidRDefault="006B70E6" w:rsidP="00363483">
            <w:pPr>
              <w:spacing w:before="120" w:after="240"/>
              <w:rPr>
                <w:lang w:eastAsia="en-AU"/>
              </w:rPr>
            </w:pPr>
            <w:r w:rsidRPr="006B70E6">
              <w:rPr>
                <w:bCs/>
                <w:lang w:eastAsia="en-AU"/>
              </w:rPr>
              <w:t>Will be progressed within the strategy development under recommendation 9.1.</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t>9.3 Focus on developing significant intergenerational learning and inter-cultural initiatives.</w:t>
            </w:r>
          </w:p>
        </w:tc>
      </w:tr>
      <w:tr w:rsidR="008110FE" w:rsidTr="00363483">
        <w:tc>
          <w:tcPr>
            <w:tcW w:w="9322" w:type="dxa"/>
            <w:shd w:val="clear" w:color="auto" w:fill="auto"/>
          </w:tcPr>
          <w:p w:rsidR="008110FE" w:rsidRDefault="006B70E6" w:rsidP="006B70E6">
            <w:pPr>
              <w:spacing w:before="120" w:after="240"/>
              <w:rPr>
                <w:lang w:eastAsia="en-AU"/>
              </w:rPr>
            </w:pPr>
            <w:r>
              <w:rPr>
                <w:lang w:eastAsia="en-AU"/>
              </w:rPr>
              <w:t>Accepted.</w:t>
            </w:r>
          </w:p>
          <w:p w:rsidR="006B70E6" w:rsidRPr="008110FE" w:rsidRDefault="006B70E6" w:rsidP="006B70E6">
            <w:pPr>
              <w:spacing w:before="120" w:after="240"/>
              <w:rPr>
                <w:lang w:eastAsia="en-AU"/>
              </w:rPr>
            </w:pPr>
            <w:r w:rsidRPr="006B70E6">
              <w:rPr>
                <w:bCs/>
                <w:lang w:eastAsia="en-AU"/>
              </w:rPr>
              <w:t>Will be progressed within the strategy development under recommendation 9.1.</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t>9.4 Stimulate the development of Aboriginal cultural infrastructure for practice, learning and community.</w:t>
            </w:r>
          </w:p>
        </w:tc>
      </w:tr>
      <w:tr w:rsidR="008110FE" w:rsidTr="00363483">
        <w:tc>
          <w:tcPr>
            <w:tcW w:w="9322" w:type="dxa"/>
            <w:shd w:val="clear" w:color="auto" w:fill="auto"/>
          </w:tcPr>
          <w:p w:rsidR="008110FE" w:rsidRDefault="006B70E6" w:rsidP="006B70E6">
            <w:pPr>
              <w:spacing w:before="120" w:after="240"/>
              <w:rPr>
                <w:lang w:eastAsia="en-AU"/>
              </w:rPr>
            </w:pPr>
            <w:r>
              <w:rPr>
                <w:lang w:eastAsia="en-AU"/>
              </w:rPr>
              <w:t>Accepted</w:t>
            </w:r>
            <w:r w:rsidR="008110FE" w:rsidRPr="008110FE">
              <w:rPr>
                <w:lang w:eastAsia="en-AU"/>
              </w:rPr>
              <w:t>.</w:t>
            </w:r>
          </w:p>
          <w:p w:rsidR="006B70E6" w:rsidRPr="008110FE" w:rsidRDefault="006B70E6" w:rsidP="006B70E6">
            <w:pPr>
              <w:spacing w:before="120" w:after="240"/>
              <w:rPr>
                <w:lang w:eastAsia="en-AU"/>
              </w:rPr>
            </w:pPr>
            <w:r w:rsidRPr="006B70E6">
              <w:rPr>
                <w:bCs/>
                <w:lang w:eastAsia="en-AU"/>
              </w:rPr>
              <w:t>Will be progressed within the strategy development under recommendation 9.1.</w:t>
            </w:r>
          </w:p>
        </w:tc>
      </w:tr>
      <w:tr w:rsidR="008110FE" w:rsidTr="008110FE">
        <w:tc>
          <w:tcPr>
            <w:tcW w:w="9322" w:type="dxa"/>
            <w:shd w:val="clear" w:color="auto" w:fill="2F5496" w:themeFill="accent1" w:themeFillShade="BF"/>
          </w:tcPr>
          <w:p w:rsidR="008110FE" w:rsidRPr="008110FE" w:rsidRDefault="008110FE" w:rsidP="008110FE">
            <w:pPr>
              <w:spacing w:before="120" w:after="120"/>
              <w:rPr>
                <w:lang w:eastAsia="en-AU"/>
              </w:rPr>
            </w:pPr>
            <w:r w:rsidRPr="008110FE">
              <w:rPr>
                <w:color w:val="FFFFFF" w:themeColor="background1"/>
                <w:lang w:eastAsia="en-AU"/>
              </w:rPr>
              <w:t>9.5 Develop regional and remote art centres as community hubs.</w:t>
            </w:r>
          </w:p>
        </w:tc>
      </w:tr>
      <w:tr w:rsidR="008110FE" w:rsidTr="00363483">
        <w:tc>
          <w:tcPr>
            <w:tcW w:w="9322" w:type="dxa"/>
            <w:shd w:val="clear" w:color="auto" w:fill="auto"/>
          </w:tcPr>
          <w:p w:rsidR="008110FE" w:rsidRPr="008110FE" w:rsidRDefault="008110FE" w:rsidP="00363483">
            <w:pPr>
              <w:spacing w:before="120" w:after="240"/>
              <w:rPr>
                <w:lang w:eastAsia="en-AU"/>
              </w:rPr>
            </w:pPr>
            <w:r w:rsidRPr="008110FE">
              <w:rPr>
                <w:lang w:eastAsia="en-AU"/>
              </w:rPr>
              <w:t>Supported in-principle - With the support of Aboriginal elders, key sector stakeholders as well as local, state and federal government organisations, we will explore and promote opportunities to further develop regional arts centres as community hubs.</w:t>
            </w:r>
          </w:p>
        </w:tc>
      </w:tr>
    </w:tbl>
    <w:p w:rsidR="00A122B7" w:rsidRDefault="00A122B7"/>
    <w:p w:rsidR="008110FE" w:rsidRDefault="008110FE" w:rsidP="008110FE">
      <w:pPr>
        <w:pStyle w:val="Heading1Heading1"/>
        <w:rPr>
          <w:lang w:eastAsia="en-AU"/>
        </w:rPr>
      </w:pPr>
      <w:bookmarkStart w:id="10" w:name="_Toc17814416"/>
      <w:r w:rsidRPr="001B3877">
        <w:rPr>
          <w:lang w:eastAsia="en-AU"/>
        </w:rPr>
        <w:t>10. Education in the arts</w:t>
      </w:r>
      <w:bookmarkEnd w:id="10"/>
      <w:r w:rsidRPr="001B3877">
        <w:rPr>
          <w:lang w:eastAsia="en-AU"/>
        </w:rPr>
        <w:t xml:space="preserve"> </w:t>
      </w:r>
    </w:p>
    <w:p w:rsidR="00A122B7" w:rsidRDefault="00A122B7" w:rsidP="00A122B7">
      <w:pPr>
        <w:rPr>
          <w:lang w:eastAsia="en-AU"/>
        </w:rPr>
      </w:pPr>
      <w:r>
        <w:rPr>
          <w:lang w:eastAsia="en-AU"/>
        </w:rPr>
        <w:t xml:space="preserve">Objective: </w:t>
      </w:r>
      <w:r w:rsidRPr="00A122B7">
        <w:rPr>
          <w:lang w:eastAsia="en-AU"/>
        </w:rPr>
        <w:t>education in the arts – new learning opportunities</w:t>
      </w:r>
      <w:r w:rsidR="001F5CEE">
        <w:rPr>
          <w:lang w:eastAsia="en-AU"/>
        </w:rPr>
        <w:t>.</w:t>
      </w:r>
    </w:p>
    <w:p w:rsidR="00A122B7" w:rsidRPr="00A122B7" w:rsidRDefault="00A122B7" w:rsidP="00A122B7">
      <w:pPr>
        <w:rPr>
          <w:b/>
          <w:lang w:eastAsia="en-AU"/>
        </w:rPr>
      </w:pPr>
      <w:r>
        <w:rPr>
          <w:b/>
          <w:lang w:eastAsia="en-AU"/>
        </w:rPr>
        <w:t>Recommendation</w:t>
      </w:r>
      <w:r w:rsidRPr="00A122B7">
        <w:rPr>
          <w:b/>
          <w:lang w:eastAsia="en-AU"/>
        </w:rPr>
        <w:t xml:space="preserve">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10.1 Develop South Australia as the centre for Arts tertiary education through development of a compelling BRAND.</w:t>
            </w:r>
          </w:p>
        </w:tc>
      </w:tr>
      <w:tr w:rsidR="008110FE" w:rsidTr="00363483">
        <w:tc>
          <w:tcPr>
            <w:tcW w:w="9322" w:type="dxa"/>
          </w:tcPr>
          <w:p w:rsidR="008110FE" w:rsidRDefault="006B70E6" w:rsidP="006B70E6">
            <w:pPr>
              <w:spacing w:before="120" w:after="240"/>
              <w:rPr>
                <w:lang w:eastAsia="en-AU"/>
              </w:rPr>
            </w:pPr>
            <w:r>
              <w:rPr>
                <w:lang w:eastAsia="en-AU"/>
              </w:rPr>
              <w:t>Supported in-principle.</w:t>
            </w:r>
          </w:p>
          <w:p w:rsidR="006B70E6" w:rsidRPr="006B70E6" w:rsidRDefault="006B70E6" w:rsidP="006B70E6">
            <w:pPr>
              <w:textAlignment w:val="baseline"/>
              <w:rPr>
                <w:rFonts w:eastAsia="Times New Roman" w:cs="Arial"/>
                <w:color w:val="000000" w:themeColor="text1"/>
                <w:lang w:eastAsia="en-AU"/>
              </w:rPr>
            </w:pPr>
            <w:r w:rsidRPr="006B70E6">
              <w:rPr>
                <w:rFonts w:eastAsia="Times New Roman" w:cs="Arial"/>
                <w:color w:val="000000" w:themeColor="text1"/>
                <w:lang w:eastAsia="en-AU"/>
              </w:rPr>
              <w:t>Work on the Arts Plan recommendations has been re-prioritised in consideration of the impact of COVID-19 on the capacity and needs of the sectors as well as government.  </w:t>
            </w:r>
          </w:p>
          <w:p w:rsidR="006B70E6" w:rsidRPr="006B70E6" w:rsidRDefault="006B70E6" w:rsidP="006B70E6">
            <w:pPr>
              <w:textAlignment w:val="baseline"/>
              <w:rPr>
                <w:rFonts w:eastAsia="Times New Roman" w:cs="Arial"/>
                <w:color w:val="000000" w:themeColor="text1"/>
                <w:lang w:eastAsia="en-AU"/>
              </w:rPr>
            </w:pPr>
          </w:p>
          <w:p w:rsidR="006B70E6" w:rsidRDefault="006B70E6" w:rsidP="006B70E6">
            <w:pPr>
              <w:textAlignment w:val="baseline"/>
              <w:rPr>
                <w:rFonts w:eastAsia="Times New Roman" w:cs="Arial"/>
                <w:color w:val="000000" w:themeColor="text1"/>
                <w:lang w:eastAsia="en-AU"/>
              </w:rPr>
            </w:pPr>
            <w:r w:rsidRPr="006B70E6">
              <w:rPr>
                <w:rFonts w:eastAsia="Times New Roman" w:cs="Arial"/>
                <w:color w:val="000000" w:themeColor="text1"/>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 </w:t>
            </w:r>
          </w:p>
          <w:p w:rsidR="006B70E6" w:rsidRDefault="006B70E6" w:rsidP="006B70E6">
            <w:pPr>
              <w:textAlignment w:val="baseline"/>
              <w:rPr>
                <w:lang w:eastAsia="en-AU"/>
              </w:rPr>
            </w:pP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10.2 Undertake a review as to the demand and feasibility of creating a Performing Arts High School/College in Adelaide.</w:t>
            </w:r>
          </w:p>
        </w:tc>
      </w:tr>
      <w:tr w:rsidR="008110FE" w:rsidTr="00363483">
        <w:tc>
          <w:tcPr>
            <w:tcW w:w="9322" w:type="dxa"/>
          </w:tcPr>
          <w:p w:rsidR="008110FE" w:rsidRDefault="008110FE" w:rsidP="006B70E6">
            <w:pPr>
              <w:spacing w:before="120" w:after="240"/>
              <w:rPr>
                <w:lang w:eastAsia="en-AU"/>
              </w:rPr>
            </w:pPr>
            <w:r w:rsidRPr="008110FE">
              <w:rPr>
                <w:lang w:eastAsia="en-AU"/>
              </w:rPr>
              <w:lastRenderedPageBreak/>
              <w:t>Supported in-principle</w:t>
            </w:r>
            <w:r w:rsidR="006B70E6">
              <w:rPr>
                <w:lang w:eastAsia="en-AU"/>
              </w:rPr>
              <w:t>.</w:t>
            </w:r>
          </w:p>
          <w:p w:rsidR="006B70E6" w:rsidRPr="006B70E6" w:rsidRDefault="006B70E6" w:rsidP="006B70E6">
            <w:pPr>
              <w:textAlignment w:val="baseline"/>
              <w:rPr>
                <w:rFonts w:eastAsia="Times New Roman" w:cs="Arial"/>
                <w:color w:val="000000" w:themeColor="text1"/>
                <w:lang w:eastAsia="en-AU"/>
              </w:rPr>
            </w:pPr>
            <w:r w:rsidRPr="006B70E6">
              <w:rPr>
                <w:rFonts w:eastAsia="Times New Roman" w:cs="Arial"/>
                <w:color w:val="000000" w:themeColor="text1"/>
                <w:lang w:eastAsia="en-AU"/>
              </w:rPr>
              <w:t>Work on the Arts Plan recommendations has been re-prioritised in consideration of the impact of COVID-19 on the capacity and needs of the sectors as well as government.  </w:t>
            </w:r>
          </w:p>
          <w:p w:rsidR="006B70E6" w:rsidRPr="006B70E6" w:rsidRDefault="006B70E6" w:rsidP="006B70E6">
            <w:pPr>
              <w:textAlignment w:val="baseline"/>
              <w:rPr>
                <w:rFonts w:eastAsia="Times New Roman" w:cs="Arial"/>
                <w:color w:val="000000" w:themeColor="text1"/>
                <w:lang w:eastAsia="en-AU"/>
              </w:rPr>
            </w:pPr>
          </w:p>
          <w:p w:rsidR="006B70E6" w:rsidRDefault="006B70E6" w:rsidP="006B70E6">
            <w:pPr>
              <w:spacing w:before="120" w:after="240"/>
              <w:rPr>
                <w:lang w:eastAsia="en-AU"/>
              </w:rPr>
            </w:pPr>
            <w:r w:rsidRPr="006B70E6">
              <w:rPr>
                <w:rFonts w:eastAsia="Times New Roman" w:cs="Arial"/>
                <w:color w:val="000000" w:themeColor="text1"/>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 </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t>10.3 Work towards adopting the principles of STEAM in primary and secondary curricula.</w:t>
            </w:r>
          </w:p>
        </w:tc>
      </w:tr>
      <w:tr w:rsidR="008110FE" w:rsidTr="00363483">
        <w:tc>
          <w:tcPr>
            <w:tcW w:w="9322" w:type="dxa"/>
            <w:shd w:val="clear" w:color="auto" w:fill="auto"/>
          </w:tcPr>
          <w:p w:rsidR="008110FE" w:rsidRDefault="00A122B7" w:rsidP="00363483">
            <w:pPr>
              <w:spacing w:before="120" w:after="240"/>
              <w:rPr>
                <w:lang w:eastAsia="en-AU"/>
              </w:rPr>
            </w:pPr>
            <w:r>
              <w:rPr>
                <w:lang w:eastAsia="en-AU"/>
              </w:rPr>
              <w:t>Further consultation required.</w:t>
            </w:r>
          </w:p>
          <w:p w:rsidR="006B70E6" w:rsidRPr="006B70E6" w:rsidRDefault="006B70E6" w:rsidP="006B70E6">
            <w:pPr>
              <w:spacing w:before="120" w:after="240"/>
              <w:rPr>
                <w:lang w:eastAsia="en-AU"/>
              </w:rPr>
            </w:pPr>
            <w:r w:rsidRPr="006B70E6">
              <w:rPr>
                <w:lang w:eastAsia="en-AU"/>
              </w:rPr>
              <w:t>Work on the Arts Plan recommendations has been re-prioritised in consideration of the impact of COVID-19 on the capacity and needs of the sectors as well as government.  </w:t>
            </w:r>
          </w:p>
          <w:p w:rsidR="006B70E6" w:rsidRPr="008110FE" w:rsidRDefault="006B70E6" w:rsidP="006B70E6">
            <w:pPr>
              <w:spacing w:before="120" w:after="240"/>
              <w:rPr>
                <w:lang w:eastAsia="en-AU"/>
              </w:rPr>
            </w:pPr>
            <w:r w:rsidRPr="006B70E6">
              <w:rPr>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t>10.4 Arts South Australia and the TAFE to partner to develop lifelong learning modules for the sector, including makers, creators and administrators.</w:t>
            </w:r>
          </w:p>
        </w:tc>
      </w:tr>
      <w:tr w:rsidR="008110FE" w:rsidTr="00363483">
        <w:tc>
          <w:tcPr>
            <w:tcW w:w="9322" w:type="dxa"/>
            <w:shd w:val="clear" w:color="auto" w:fill="auto"/>
          </w:tcPr>
          <w:p w:rsidR="008110FE" w:rsidRDefault="006B70E6" w:rsidP="006B70E6">
            <w:pPr>
              <w:spacing w:before="120" w:after="240"/>
              <w:rPr>
                <w:lang w:eastAsia="en-AU"/>
              </w:rPr>
            </w:pPr>
            <w:r>
              <w:rPr>
                <w:lang w:eastAsia="en-AU"/>
              </w:rPr>
              <w:t>Supported in-principle.</w:t>
            </w:r>
          </w:p>
          <w:p w:rsidR="006B70E6" w:rsidRDefault="006B70E6" w:rsidP="006B70E6">
            <w:pPr>
              <w:spacing w:before="120" w:after="240"/>
              <w:rPr>
                <w:lang w:eastAsia="en-AU"/>
              </w:rPr>
            </w:pPr>
            <w:r>
              <w:rPr>
                <w:lang w:eastAsia="en-AU"/>
              </w:rPr>
              <w:t xml:space="preserve">Work on the Arts Plan recommendations has been re-prioritised in consideration of the impact of COVID-19 on the capacity and needs of the sectors as well as government.  </w:t>
            </w:r>
          </w:p>
          <w:p w:rsidR="006B70E6" w:rsidRPr="008110FE" w:rsidRDefault="006B70E6" w:rsidP="006B70E6">
            <w:pPr>
              <w:spacing w:before="120" w:after="240"/>
              <w:rPr>
                <w:lang w:eastAsia="en-AU"/>
              </w:rPr>
            </w:pPr>
            <w:r>
              <w:rPr>
                <w:lang w:eastAsia="en-AU"/>
              </w:rPr>
              <w:t xml:space="preserve">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  </w:t>
            </w:r>
          </w:p>
        </w:tc>
      </w:tr>
    </w:tbl>
    <w:p w:rsidR="008110FE" w:rsidRDefault="008110FE" w:rsidP="008110FE">
      <w:pPr>
        <w:tabs>
          <w:tab w:val="left" w:pos="3631"/>
        </w:tabs>
      </w:pPr>
    </w:p>
    <w:p w:rsidR="008110FE" w:rsidRDefault="008110FE" w:rsidP="008110FE">
      <w:pPr>
        <w:pStyle w:val="Heading1Heading1"/>
        <w:rPr>
          <w:lang w:eastAsia="en-AU"/>
        </w:rPr>
      </w:pPr>
      <w:bookmarkStart w:id="11" w:name="_Toc17814417"/>
      <w:r w:rsidRPr="001B3877">
        <w:rPr>
          <w:lang w:eastAsia="en-AU"/>
        </w:rPr>
        <w:t>11. International engagement</w:t>
      </w:r>
      <w:bookmarkEnd w:id="11"/>
    </w:p>
    <w:p w:rsidR="00A122B7" w:rsidRDefault="00A122B7" w:rsidP="00A122B7">
      <w:pPr>
        <w:rPr>
          <w:lang w:eastAsia="en-AU"/>
        </w:rPr>
      </w:pPr>
      <w:r>
        <w:rPr>
          <w:lang w:eastAsia="en-AU"/>
        </w:rPr>
        <w:t xml:space="preserve">Objective: </w:t>
      </w:r>
      <w:r w:rsidRPr="00A122B7">
        <w:rPr>
          <w:lang w:eastAsia="en-AU"/>
        </w:rPr>
        <w:t>i</w:t>
      </w:r>
      <w:r>
        <w:rPr>
          <w:lang w:eastAsia="en-AU"/>
        </w:rPr>
        <w:t>nternational e</w:t>
      </w:r>
      <w:r w:rsidRPr="00A122B7">
        <w:rPr>
          <w:lang w:eastAsia="en-AU"/>
        </w:rPr>
        <w:t>ngagement - Inform and establish a strategy for international engagement of the Arts and Culture sector including the creative industries</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11.1 Develop an export and investment strategy for South Australia’s arts and creative industries.</w:t>
            </w:r>
          </w:p>
        </w:tc>
      </w:tr>
      <w:tr w:rsidR="008110FE" w:rsidTr="00363483">
        <w:tc>
          <w:tcPr>
            <w:tcW w:w="9322" w:type="dxa"/>
          </w:tcPr>
          <w:p w:rsidR="008110FE" w:rsidRDefault="008110FE" w:rsidP="00363483">
            <w:pPr>
              <w:spacing w:before="120" w:after="240"/>
              <w:rPr>
                <w:lang w:eastAsia="en-AU"/>
              </w:rPr>
            </w:pPr>
            <w:r w:rsidRPr="008110FE">
              <w:rPr>
                <w:lang w:eastAsia="en-AU"/>
              </w:rPr>
              <w:t>Accepted.</w:t>
            </w:r>
          </w:p>
          <w:p w:rsidR="00D8043C" w:rsidRPr="00D8043C" w:rsidRDefault="00D8043C" w:rsidP="00D8043C">
            <w:pPr>
              <w:spacing w:before="120" w:after="240"/>
              <w:rPr>
                <w:lang w:eastAsia="en-AU"/>
              </w:rPr>
            </w:pPr>
            <w:r w:rsidRPr="00D8043C">
              <w:rPr>
                <w:lang w:eastAsia="en-AU"/>
              </w:rPr>
              <w:t>Development of the export and investment strategy is responding to the current and future export landscapes for the sector, recognising the added impetus which COVID-19 brings to support the arts, culture and creative sectors to develop and sustain viable business models.</w:t>
            </w:r>
          </w:p>
          <w:p w:rsidR="003E4EFB" w:rsidRDefault="00D8043C" w:rsidP="00D8043C">
            <w:pPr>
              <w:spacing w:before="120" w:after="240"/>
              <w:rPr>
                <w:lang w:eastAsia="en-AU"/>
              </w:rPr>
            </w:pPr>
            <w:r w:rsidRPr="00D8043C">
              <w:rPr>
                <w:lang w:eastAsia="en-AU"/>
              </w:rPr>
              <w:lastRenderedPageBreak/>
              <w:t>The strategy’s scope and potential is being informed by consultation and opportunities provided by the Growth State Creative Industries Strategy, as well as research conducted for the review of Arts South Australia’s grants program (Objective 2) and sector engagement in response to the devastating impacts of COVID-19.</w:t>
            </w:r>
          </w:p>
        </w:tc>
      </w:tr>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lastRenderedPageBreak/>
              <w:t>11.2 Develop a strategy to attract international students to Adelaide as a leading centre for Arts Tertiary education in Australia.</w:t>
            </w:r>
          </w:p>
        </w:tc>
      </w:tr>
      <w:tr w:rsidR="008110FE" w:rsidTr="00363483">
        <w:tc>
          <w:tcPr>
            <w:tcW w:w="9322" w:type="dxa"/>
          </w:tcPr>
          <w:p w:rsidR="006B70E6" w:rsidRDefault="006B70E6" w:rsidP="006B70E6">
            <w:pPr>
              <w:spacing w:before="120" w:after="240"/>
              <w:rPr>
                <w:lang w:eastAsia="en-AU"/>
              </w:rPr>
            </w:pPr>
            <w:r>
              <w:rPr>
                <w:lang w:eastAsia="en-AU"/>
              </w:rPr>
              <w:t>Accepted.</w:t>
            </w:r>
          </w:p>
          <w:p w:rsidR="006B70E6" w:rsidRDefault="006B70E6" w:rsidP="006B70E6">
            <w:pPr>
              <w:spacing w:before="120" w:after="240"/>
              <w:rPr>
                <w:lang w:eastAsia="en-AU"/>
              </w:rPr>
            </w:pPr>
            <w:r>
              <w:rPr>
                <w:lang w:eastAsia="en-AU"/>
              </w:rPr>
              <w:t xml:space="preserve">Work on the Arts Plan recommendations has been re-prioritised in consideration of the impact of COVID-19 on the capacity and needs of the sectors as well as government.  </w:t>
            </w:r>
          </w:p>
          <w:p w:rsidR="003E4EFB" w:rsidRDefault="006B70E6" w:rsidP="006B70E6">
            <w:pPr>
              <w:spacing w:before="120" w:after="240"/>
              <w:rPr>
                <w:lang w:eastAsia="en-AU"/>
              </w:rPr>
            </w:pPr>
            <w:r>
              <w:rPr>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w:t>
            </w:r>
          </w:p>
        </w:tc>
      </w:tr>
      <w:tr w:rsidR="008110FE" w:rsidTr="00363483">
        <w:tc>
          <w:tcPr>
            <w:tcW w:w="9322" w:type="dxa"/>
            <w:shd w:val="clear" w:color="auto" w:fill="2F5496" w:themeFill="accent1" w:themeFillShade="BF"/>
          </w:tcPr>
          <w:p w:rsidR="008110FE" w:rsidRPr="008110FE" w:rsidRDefault="008110FE" w:rsidP="00363483">
            <w:pPr>
              <w:spacing w:before="120" w:after="120"/>
              <w:rPr>
                <w:lang w:eastAsia="en-AU"/>
              </w:rPr>
            </w:pPr>
            <w:r w:rsidRPr="008110FE">
              <w:rPr>
                <w:color w:val="FFFFFF" w:themeColor="background1"/>
                <w:lang w:eastAsia="en-AU"/>
              </w:rPr>
              <w:t>11.3 Develop a strategy to engage with the broader International student population from the time of their arrival in South Australia.</w:t>
            </w:r>
          </w:p>
        </w:tc>
      </w:tr>
      <w:tr w:rsidR="008110FE" w:rsidTr="00363483">
        <w:tc>
          <w:tcPr>
            <w:tcW w:w="9322" w:type="dxa"/>
            <w:shd w:val="clear" w:color="auto" w:fill="auto"/>
          </w:tcPr>
          <w:p w:rsidR="008110FE" w:rsidRDefault="008110FE" w:rsidP="006B70E6">
            <w:pPr>
              <w:spacing w:before="120" w:after="240"/>
              <w:rPr>
                <w:lang w:eastAsia="en-AU"/>
              </w:rPr>
            </w:pPr>
            <w:r w:rsidRPr="008110FE">
              <w:rPr>
                <w:lang w:eastAsia="en-AU"/>
              </w:rPr>
              <w:t>Accepted.</w:t>
            </w:r>
          </w:p>
          <w:p w:rsidR="006B70E6" w:rsidRDefault="006B70E6" w:rsidP="006B70E6">
            <w:pPr>
              <w:spacing w:before="120" w:after="240"/>
              <w:rPr>
                <w:lang w:eastAsia="en-AU"/>
              </w:rPr>
            </w:pPr>
            <w:r>
              <w:rPr>
                <w:lang w:eastAsia="en-AU"/>
              </w:rPr>
              <w:t xml:space="preserve">Work on the Arts Plan recommendations has been re-prioritised in consideration of the impact of COVID-19 on the capacity and needs of the sectors as well as government.  </w:t>
            </w:r>
          </w:p>
          <w:p w:rsidR="006B70E6" w:rsidRPr="008110FE" w:rsidRDefault="006B70E6" w:rsidP="006B70E6">
            <w:pPr>
              <w:spacing w:before="120" w:after="240"/>
              <w:rPr>
                <w:lang w:eastAsia="en-AU"/>
              </w:rPr>
            </w:pPr>
            <w:r>
              <w:rPr>
                <w:lang w:eastAsia="en-AU"/>
              </w:rPr>
              <w:t>While the Arts Plan Advisory Group continues to support the integration and implementation of the Arts Plan recommendations across government, this project has been rescheduled to the 2021-22 financial year to support sector and across government engagement and participation with full capacity.</w:t>
            </w:r>
          </w:p>
        </w:tc>
      </w:tr>
    </w:tbl>
    <w:p w:rsidR="008110FE" w:rsidRDefault="008110FE" w:rsidP="008110FE">
      <w:pPr>
        <w:tabs>
          <w:tab w:val="left" w:pos="3631"/>
        </w:tabs>
      </w:pPr>
    </w:p>
    <w:p w:rsidR="008110FE" w:rsidRDefault="008110FE" w:rsidP="008110FE">
      <w:pPr>
        <w:pStyle w:val="Heading1Heading1"/>
        <w:rPr>
          <w:lang w:eastAsia="en-AU"/>
        </w:rPr>
      </w:pPr>
      <w:bookmarkStart w:id="12" w:name="_Toc17814418"/>
      <w:r w:rsidRPr="001B3877">
        <w:rPr>
          <w:lang w:eastAsia="en-AU"/>
        </w:rPr>
        <w:t>12. Storage for the collections</w:t>
      </w:r>
      <w:bookmarkEnd w:id="12"/>
      <w:r w:rsidRPr="001B3877">
        <w:rPr>
          <w:lang w:eastAsia="en-AU"/>
        </w:rPr>
        <w:t xml:space="preserve"> </w:t>
      </w:r>
    </w:p>
    <w:p w:rsidR="00A122B7" w:rsidRDefault="00A122B7" w:rsidP="00A122B7">
      <w:pPr>
        <w:rPr>
          <w:lang w:eastAsia="en-AU"/>
        </w:rPr>
      </w:pPr>
      <w:r>
        <w:rPr>
          <w:lang w:eastAsia="en-AU"/>
        </w:rPr>
        <w:t xml:space="preserve">Objective: </w:t>
      </w:r>
      <w:r w:rsidRPr="00A122B7">
        <w:rPr>
          <w:lang w:eastAsia="en-AU"/>
        </w:rPr>
        <w:t>how to approach the issue of storage for the collections in South Australia</w:t>
      </w:r>
      <w:r>
        <w:rPr>
          <w:lang w:eastAsia="en-AU"/>
        </w:rPr>
        <w:t>.</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D52EFC">
            <w:pPr>
              <w:spacing w:before="120" w:after="120"/>
            </w:pPr>
            <w:r w:rsidRPr="008110FE">
              <w:rPr>
                <w:color w:val="FFFFFF" w:themeColor="background1"/>
              </w:rPr>
              <w:t>12.1 Implement the recommendations of the Cultural Institutions Storage initiative and the scope of CISS</w:t>
            </w:r>
            <w:r w:rsidR="00D52EFC">
              <w:rPr>
                <w:color w:val="FFFFFF" w:themeColor="background1"/>
              </w:rPr>
              <w:t>C</w:t>
            </w:r>
            <w:r w:rsidRPr="008110FE">
              <w:rPr>
                <w:color w:val="FFFFFF" w:themeColor="background1"/>
              </w:rPr>
              <w:t xml:space="preserve"> (Cultural Institutions Storage Steering Committee).</w:t>
            </w:r>
          </w:p>
        </w:tc>
      </w:tr>
      <w:tr w:rsidR="008110FE" w:rsidTr="00363483">
        <w:tc>
          <w:tcPr>
            <w:tcW w:w="9322" w:type="dxa"/>
          </w:tcPr>
          <w:p w:rsidR="003E4EFB" w:rsidRDefault="008110FE" w:rsidP="006B70E6">
            <w:pPr>
              <w:spacing w:before="120" w:after="240"/>
              <w:rPr>
                <w:lang w:eastAsia="en-AU"/>
              </w:rPr>
            </w:pPr>
            <w:r w:rsidRPr="008110FE">
              <w:rPr>
                <w:lang w:eastAsia="en-AU"/>
              </w:rPr>
              <w:t>Accepted</w:t>
            </w:r>
            <w:r w:rsidR="006B70E6">
              <w:rPr>
                <w:lang w:eastAsia="en-AU"/>
              </w:rPr>
              <w:t>.</w:t>
            </w:r>
          </w:p>
          <w:p w:rsidR="00D8043C" w:rsidRPr="00D8043C" w:rsidRDefault="00D8043C" w:rsidP="00D8043C">
            <w:pPr>
              <w:spacing w:before="120" w:after="240"/>
              <w:rPr>
                <w:lang w:eastAsia="en-AU"/>
              </w:rPr>
            </w:pPr>
            <w:r w:rsidRPr="00D8043C">
              <w:rPr>
                <w:lang w:eastAsia="en-AU"/>
              </w:rPr>
              <w:t>The government has allocated $86.5 million in the 2020-21 State Budget towards a purpose-built collection storage facility. The storage project includes a capital build, plus relocation costs to provide collection storage for the South Australian Museum, Art Gallery of South Australia, State Library of South Australia and the History Trust of South Australia. With support from the Department for Infrastructure and Transport, the Department of the Premier and Cabinet are progressing initial project planning and delivery in consultation with the cultural institutions.  </w:t>
            </w:r>
          </w:p>
          <w:p w:rsidR="006B70E6" w:rsidRDefault="00D8043C" w:rsidP="00D8043C">
            <w:pPr>
              <w:spacing w:before="120" w:after="240"/>
              <w:rPr>
                <w:lang w:eastAsia="en-AU"/>
              </w:rPr>
            </w:pPr>
            <w:r w:rsidRPr="00D8043C">
              <w:rPr>
                <w:iCs/>
                <w:lang w:eastAsia="en-AU"/>
              </w:rPr>
              <w:lastRenderedPageBreak/>
              <w:t>The Government</w:t>
            </w:r>
            <w:r>
              <w:rPr>
                <w:iCs/>
                <w:lang w:eastAsia="en-AU"/>
              </w:rPr>
              <w:t>’</w:t>
            </w:r>
            <w:r w:rsidRPr="00D8043C">
              <w:rPr>
                <w:iCs/>
                <w:lang w:eastAsia="en-AU"/>
              </w:rPr>
              <w:t>s response to this recommendation is now complete. The project has now progressed to the implementation stage.</w:t>
            </w:r>
            <w:r w:rsidR="006B70E6" w:rsidRPr="006B70E6">
              <w:rPr>
                <w:lang w:eastAsia="en-AU"/>
              </w:rPr>
              <w:tab/>
            </w:r>
          </w:p>
        </w:tc>
      </w:tr>
    </w:tbl>
    <w:p w:rsidR="008110FE" w:rsidRDefault="008110FE" w:rsidP="008110FE">
      <w:pPr>
        <w:tabs>
          <w:tab w:val="left" w:pos="3631"/>
        </w:tabs>
      </w:pPr>
    </w:p>
    <w:p w:rsidR="008110FE" w:rsidRDefault="008110FE" w:rsidP="008110FE">
      <w:pPr>
        <w:pStyle w:val="Heading1Heading1"/>
        <w:rPr>
          <w:lang w:eastAsia="en-AU"/>
        </w:rPr>
      </w:pPr>
      <w:bookmarkStart w:id="13" w:name="_Toc17814419"/>
      <w:r w:rsidRPr="001B3877">
        <w:rPr>
          <w:lang w:eastAsia="en-AU"/>
        </w:rPr>
        <w:t>13. Evaluation and measurement</w:t>
      </w:r>
      <w:bookmarkEnd w:id="13"/>
    </w:p>
    <w:p w:rsidR="00A122B7" w:rsidRDefault="00A122B7" w:rsidP="00A122B7">
      <w:pPr>
        <w:rPr>
          <w:lang w:eastAsia="en-AU"/>
        </w:rPr>
      </w:pPr>
      <w:r>
        <w:rPr>
          <w:lang w:eastAsia="en-AU"/>
        </w:rPr>
        <w:t>Objective: evaluation and m</w:t>
      </w:r>
      <w:r w:rsidRPr="00A122B7">
        <w:rPr>
          <w:lang w:eastAsia="en-AU"/>
        </w:rPr>
        <w:t>easurement – the measurement of value and impact of the investment into Arts and Culture in South Australia.</w:t>
      </w:r>
    </w:p>
    <w:p w:rsidR="00A122B7" w:rsidRPr="00A122B7" w:rsidRDefault="00A122B7" w:rsidP="00A122B7">
      <w:pPr>
        <w:rPr>
          <w:b/>
          <w:lang w:eastAsia="en-AU"/>
        </w:rPr>
      </w:pPr>
      <w:r w:rsidRPr="00A122B7">
        <w:rPr>
          <w:b/>
          <w:lang w:eastAsia="en-AU"/>
        </w:rPr>
        <w:t>Recommendation and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110FE" w:rsidTr="00363483">
        <w:tc>
          <w:tcPr>
            <w:tcW w:w="9322" w:type="dxa"/>
            <w:shd w:val="clear" w:color="auto" w:fill="2F5496" w:themeFill="accent1" w:themeFillShade="BF"/>
          </w:tcPr>
          <w:p w:rsidR="008110FE" w:rsidRDefault="008110FE" w:rsidP="00363483">
            <w:pPr>
              <w:spacing w:before="120" w:after="120"/>
            </w:pPr>
            <w:r w:rsidRPr="008110FE">
              <w:rPr>
                <w:color w:val="FFFFFF" w:themeColor="background1"/>
              </w:rPr>
              <w:t>13.1 Develop an evaluation and measurement framework that captures the value of arts and culture, one that builds on and draws together the existing work undertaken in this area.</w:t>
            </w:r>
          </w:p>
        </w:tc>
      </w:tr>
      <w:tr w:rsidR="008110FE" w:rsidTr="00363483">
        <w:tc>
          <w:tcPr>
            <w:tcW w:w="9322" w:type="dxa"/>
          </w:tcPr>
          <w:p w:rsidR="008110FE" w:rsidRDefault="006B70E6" w:rsidP="00363483">
            <w:pPr>
              <w:spacing w:before="120" w:after="240"/>
              <w:rPr>
                <w:lang w:eastAsia="en-AU"/>
              </w:rPr>
            </w:pPr>
            <w:r>
              <w:rPr>
                <w:lang w:eastAsia="en-AU"/>
              </w:rPr>
              <w:t>Accepted.</w:t>
            </w:r>
          </w:p>
          <w:p w:rsidR="006B70E6" w:rsidRDefault="006B70E6" w:rsidP="00363483">
            <w:pPr>
              <w:spacing w:before="120" w:after="240"/>
              <w:rPr>
                <w:lang w:eastAsia="en-AU"/>
              </w:rPr>
            </w:pPr>
            <w:r w:rsidRPr="006B70E6">
              <w:rPr>
                <w:bCs/>
                <w:lang w:eastAsia="en-AU"/>
              </w:rPr>
              <w:t xml:space="preserve">While work has not commenced on this recommendation in earnest, we will continue to note measurement frameworks evolving and implemented elsewhere to inform any future works.  </w:t>
            </w:r>
          </w:p>
          <w:p w:rsidR="0030306D" w:rsidRDefault="0030306D" w:rsidP="00363483">
            <w:pPr>
              <w:spacing w:before="120" w:after="240"/>
              <w:rPr>
                <w:lang w:eastAsia="en-AU"/>
              </w:rPr>
            </w:pPr>
          </w:p>
          <w:p w:rsidR="0030306D" w:rsidRPr="0030306D" w:rsidRDefault="0030306D" w:rsidP="0030306D">
            <w:pPr>
              <w:spacing w:before="120" w:after="240"/>
              <w:rPr>
                <w:b/>
                <w:lang w:eastAsia="en-AU"/>
              </w:rPr>
            </w:pPr>
            <w:r w:rsidRPr="0030306D">
              <w:rPr>
                <w:b/>
                <w:lang w:eastAsia="en-AU"/>
              </w:rPr>
              <w:t>*Implementation of recommendations that have financial impacts that cannot be met from within existing departmental resources will be the subject of consideration through future budget processes.</w:t>
            </w:r>
          </w:p>
          <w:p w:rsidR="0030306D" w:rsidRDefault="0030306D" w:rsidP="00363483">
            <w:pPr>
              <w:spacing w:before="120" w:after="240"/>
              <w:rPr>
                <w:lang w:eastAsia="en-AU"/>
              </w:rPr>
            </w:pPr>
          </w:p>
        </w:tc>
      </w:tr>
    </w:tbl>
    <w:p w:rsidR="008110FE" w:rsidRPr="008110FE" w:rsidRDefault="008110FE" w:rsidP="008110FE">
      <w:pPr>
        <w:tabs>
          <w:tab w:val="left" w:pos="3631"/>
        </w:tabs>
      </w:pPr>
    </w:p>
    <w:sectPr w:rsidR="008110FE" w:rsidRPr="008110FE" w:rsidSect="00BD0967">
      <w:footerReference w:type="default" r:id="rId18"/>
      <w:footerReference w:type="first" r:id="rId19"/>
      <w:pgSz w:w="11906" w:h="16838"/>
      <w:pgMar w:top="1418" w:right="1440" w:bottom="1440" w:left="1134" w:header="708" w:footer="4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C4" w:rsidRDefault="00CD71C4" w:rsidP="00976846">
      <w:pPr>
        <w:spacing w:after="0" w:line="240" w:lineRule="auto"/>
      </w:pPr>
      <w:r>
        <w:separator/>
      </w:r>
    </w:p>
  </w:endnote>
  <w:endnote w:type="continuationSeparator" w:id="0">
    <w:p w:rsidR="00CD71C4" w:rsidRDefault="00CD71C4" w:rsidP="009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3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662"/>
    </w:tblGrid>
    <w:tr w:rsidR="00363483" w:rsidTr="00FE3DFF">
      <w:trPr>
        <w:trHeight w:val="290"/>
      </w:trPr>
      <w:tc>
        <w:tcPr>
          <w:tcW w:w="1702" w:type="dxa"/>
          <w:shd w:val="clear" w:color="auto" w:fill="004B88"/>
          <w:vAlign w:val="center"/>
        </w:tcPr>
        <w:p w:rsidR="00363483" w:rsidRPr="008011DC" w:rsidRDefault="00363483" w:rsidP="00976846">
          <w:pPr>
            <w:pStyle w:val="Pagenumbers"/>
          </w:pPr>
          <w:r w:rsidRPr="008011DC">
            <w:t xml:space="preserve">Page </w:t>
          </w:r>
          <w:r w:rsidRPr="008011DC">
            <w:fldChar w:fldCharType="begin"/>
          </w:r>
          <w:r w:rsidRPr="008011DC">
            <w:instrText xml:space="preserve"> PAGE </w:instrText>
          </w:r>
          <w:r w:rsidRPr="008011DC">
            <w:fldChar w:fldCharType="separate"/>
          </w:r>
          <w:r w:rsidR="008F4FB4">
            <w:rPr>
              <w:noProof/>
            </w:rPr>
            <w:t>12</w:t>
          </w:r>
          <w:r w:rsidRPr="008011DC">
            <w:fldChar w:fldCharType="end"/>
          </w:r>
          <w:r w:rsidRPr="008011DC">
            <w:t xml:space="preserve"> of </w:t>
          </w:r>
          <w:fldSimple w:instr=" NUMPAGES ">
            <w:r w:rsidR="008F4FB4">
              <w:rPr>
                <w:noProof/>
              </w:rPr>
              <w:t>16</w:t>
            </w:r>
          </w:fldSimple>
        </w:p>
      </w:tc>
      <w:tc>
        <w:tcPr>
          <w:tcW w:w="6662" w:type="dxa"/>
          <w:shd w:val="clear" w:color="auto" w:fill="004B88"/>
          <w:vAlign w:val="center"/>
        </w:tcPr>
        <w:p w:rsidR="00363483" w:rsidRPr="008011DC" w:rsidRDefault="00A9225C" w:rsidP="006B70E6">
          <w:pPr>
            <w:pStyle w:val="Pagenumbers"/>
          </w:pPr>
          <w:r>
            <w:t xml:space="preserve"> Last updated </w:t>
          </w:r>
          <w:r w:rsidR="00D8043C">
            <w:t>February</w:t>
          </w:r>
          <w:r w:rsidR="006B70E6">
            <w:t xml:space="preserve"> </w:t>
          </w:r>
          <w:r>
            <w:t>202</w:t>
          </w:r>
          <w:r w:rsidR="00D8043C">
            <w:t>1</w:t>
          </w:r>
        </w:p>
      </w:tc>
    </w:tr>
  </w:tbl>
  <w:p w:rsidR="00363483" w:rsidRDefault="00363483" w:rsidP="0043771B">
    <w:pPr>
      <w:pStyle w:val="Footer"/>
      <w:tabs>
        <w:tab w:val="clear" w:pos="4513"/>
        <w:tab w:val="clear" w:pos="9026"/>
        <w:tab w:val="left" w:pos="7653"/>
      </w:tabs>
      <w:ind w:right="-1127"/>
    </w:pPr>
    <w:r>
      <w:rPr>
        <w:noProof/>
        <w:lang w:eastAsia="en-AU"/>
      </w:rPr>
      <w:drawing>
        <wp:anchor distT="0" distB="0" distL="114300" distR="114300" simplePos="0" relativeHeight="251668480" behindDoc="1" locked="0" layoutInCell="1" allowOverlap="1" wp14:anchorId="679F0364" wp14:editId="5A5210C2">
          <wp:simplePos x="0" y="0"/>
          <wp:positionH relativeFrom="page">
            <wp:posOffset>1034415</wp:posOffset>
          </wp:positionH>
          <wp:positionV relativeFrom="paragraph">
            <wp:posOffset>-381000</wp:posOffset>
          </wp:positionV>
          <wp:extent cx="6509385" cy="774745"/>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9385" cy="774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483" w:rsidRDefault="00363483">
    <w:pPr>
      <w:pStyle w:val="Footer"/>
    </w:pPr>
    <w:r>
      <w:rPr>
        <w:noProof/>
        <w:lang w:eastAsia="en-AU"/>
      </w:rPr>
      <w:drawing>
        <wp:anchor distT="0" distB="0" distL="114300" distR="114300" simplePos="0" relativeHeight="251669504" behindDoc="0" locked="0" layoutInCell="1" allowOverlap="1">
          <wp:simplePos x="0" y="0"/>
          <wp:positionH relativeFrom="column">
            <wp:posOffset>2003259</wp:posOffset>
          </wp:positionH>
          <wp:positionV relativeFrom="paragraph">
            <wp:posOffset>-4189040</wp:posOffset>
          </wp:positionV>
          <wp:extent cx="5522976" cy="5443728"/>
          <wp:effectExtent l="0" t="0" r="190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SA Watermark.jpg"/>
                  <pic:cNvPicPr/>
                </pic:nvPicPr>
                <pic:blipFill>
                  <a:blip r:embed="rId1">
                    <a:extLst>
                      <a:ext uri="{28A0092B-C50C-407E-A947-70E740481C1C}">
                        <a14:useLocalDpi xmlns:a14="http://schemas.microsoft.com/office/drawing/2010/main" val="0"/>
                      </a:ext>
                    </a:extLst>
                  </a:blip>
                  <a:stretch>
                    <a:fillRect/>
                  </a:stretch>
                </pic:blipFill>
                <pic:spPr>
                  <a:xfrm>
                    <a:off x="0" y="0"/>
                    <a:ext cx="5522976" cy="5443728"/>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3F6CC0C1" wp14:editId="4A2B788A">
          <wp:simplePos x="0" y="0"/>
          <wp:positionH relativeFrom="column">
            <wp:posOffset>6705079</wp:posOffset>
          </wp:positionH>
          <wp:positionV relativeFrom="paragraph">
            <wp:posOffset>-648970</wp:posOffset>
          </wp:positionV>
          <wp:extent cx="7547610" cy="92138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2"/>
                  <a:stretch>
                    <a:fillRect/>
                  </a:stretch>
                </pic:blipFill>
                <pic:spPr>
                  <a:xfrm>
                    <a:off x="0" y="0"/>
                    <a:ext cx="7547610" cy="921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C4" w:rsidRDefault="00CD71C4" w:rsidP="00976846">
      <w:pPr>
        <w:spacing w:after="0" w:line="240" w:lineRule="auto"/>
      </w:pPr>
      <w:r>
        <w:separator/>
      </w:r>
    </w:p>
  </w:footnote>
  <w:footnote w:type="continuationSeparator" w:id="0">
    <w:p w:rsidR="00CD71C4" w:rsidRDefault="00CD71C4" w:rsidP="00976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5C4"/>
    <w:multiLevelType w:val="hybridMultilevel"/>
    <w:tmpl w:val="90267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16C1A"/>
    <w:multiLevelType w:val="hybridMultilevel"/>
    <w:tmpl w:val="F4B43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33ABC"/>
    <w:multiLevelType w:val="hybridMultilevel"/>
    <w:tmpl w:val="F088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8362E"/>
    <w:multiLevelType w:val="hybridMultilevel"/>
    <w:tmpl w:val="A1805936"/>
    <w:lvl w:ilvl="0" w:tplc="55261F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76AB1"/>
    <w:multiLevelType w:val="hybridMultilevel"/>
    <w:tmpl w:val="8D7C3B3C"/>
    <w:lvl w:ilvl="0" w:tplc="D620304E">
      <w:start w:val="1"/>
      <w:numFmt w:val="bullet"/>
      <w:pStyle w:val="List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5089A"/>
    <w:multiLevelType w:val="hybridMultilevel"/>
    <w:tmpl w:val="7A6AA5B6"/>
    <w:lvl w:ilvl="0" w:tplc="A746CFF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F00ACD"/>
    <w:multiLevelType w:val="hybridMultilevel"/>
    <w:tmpl w:val="1F0C8A92"/>
    <w:lvl w:ilvl="0" w:tplc="A746CFF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85359"/>
    <w:multiLevelType w:val="hybridMultilevel"/>
    <w:tmpl w:val="A2D0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47703"/>
    <w:multiLevelType w:val="hybridMultilevel"/>
    <w:tmpl w:val="B9B4A410"/>
    <w:lvl w:ilvl="0" w:tplc="A746CFF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34C68"/>
    <w:multiLevelType w:val="hybridMultilevel"/>
    <w:tmpl w:val="CC06A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53655B"/>
    <w:multiLevelType w:val="hybridMultilevel"/>
    <w:tmpl w:val="5C92E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34B61"/>
    <w:multiLevelType w:val="hybridMultilevel"/>
    <w:tmpl w:val="2F66BDCC"/>
    <w:lvl w:ilvl="0" w:tplc="A746CFF6">
      <w:numFmt w:val="bullet"/>
      <w:lvlText w:val="•"/>
      <w:lvlJc w:val="left"/>
      <w:pPr>
        <w:ind w:left="1440" w:hanging="72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051B4A"/>
    <w:multiLevelType w:val="hybridMultilevel"/>
    <w:tmpl w:val="34CA9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9E10D7"/>
    <w:multiLevelType w:val="hybridMultilevel"/>
    <w:tmpl w:val="511057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FC17FB"/>
    <w:multiLevelType w:val="hybridMultilevel"/>
    <w:tmpl w:val="FE5258EA"/>
    <w:lvl w:ilvl="0" w:tplc="7FD47322">
      <w:start w:val="1"/>
      <w:numFmt w:val="decimal"/>
      <w:pStyle w:val="numberedlist"/>
      <w:lvlText w:val="%1."/>
      <w:lvlJc w:val="left"/>
      <w:pPr>
        <w:ind w:left="360"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1">
      <w:start w:val="1"/>
      <w:numFmt w:val="bullet"/>
      <w:lvlText w:val=""/>
      <w:lvlJc w:val="left"/>
      <w:pPr>
        <w:ind w:left="6544" w:hanging="360"/>
      </w:pPr>
      <w:rPr>
        <w:rFonts w:ascii="Symbol" w:hAnsi="Symbol"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15" w15:restartNumberingAfterBreak="0">
    <w:nsid w:val="73A83CFC"/>
    <w:multiLevelType w:val="hybridMultilevel"/>
    <w:tmpl w:val="8A8EF478"/>
    <w:lvl w:ilvl="0" w:tplc="A746CFF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
  </w:num>
  <w:num w:numId="5">
    <w:abstractNumId w:val="0"/>
  </w:num>
  <w:num w:numId="6">
    <w:abstractNumId w:val="9"/>
  </w:num>
  <w:num w:numId="7">
    <w:abstractNumId w:val="4"/>
  </w:num>
  <w:num w:numId="8">
    <w:abstractNumId w:val="4"/>
  </w:num>
  <w:num w:numId="9">
    <w:abstractNumId w:val="10"/>
  </w:num>
  <w:num w:numId="10">
    <w:abstractNumId w:val="15"/>
  </w:num>
  <w:num w:numId="11">
    <w:abstractNumId w:val="6"/>
  </w:num>
  <w:num w:numId="12">
    <w:abstractNumId w:val="8"/>
  </w:num>
  <w:num w:numId="13">
    <w:abstractNumId w:val="2"/>
  </w:num>
  <w:num w:numId="14">
    <w:abstractNumId w:val="11"/>
  </w:num>
  <w:num w:numId="15">
    <w:abstractNumId w:val="5"/>
  </w:num>
  <w:num w:numId="16">
    <w:abstractNumId w:val="1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FE"/>
    <w:rsid w:val="000137A2"/>
    <w:rsid w:val="00021253"/>
    <w:rsid w:val="00030A7F"/>
    <w:rsid w:val="00031607"/>
    <w:rsid w:val="0003369C"/>
    <w:rsid w:val="000343B1"/>
    <w:rsid w:val="000360FA"/>
    <w:rsid w:val="00042709"/>
    <w:rsid w:val="00045BC6"/>
    <w:rsid w:val="000548F3"/>
    <w:rsid w:val="00061239"/>
    <w:rsid w:val="000612F8"/>
    <w:rsid w:val="00074AE3"/>
    <w:rsid w:val="00076856"/>
    <w:rsid w:val="000933C8"/>
    <w:rsid w:val="00097CB4"/>
    <w:rsid w:val="000C6F27"/>
    <w:rsid w:val="000D17A2"/>
    <w:rsid w:val="000D4106"/>
    <w:rsid w:val="000D45B7"/>
    <w:rsid w:val="000E0375"/>
    <w:rsid w:val="000E12E8"/>
    <w:rsid w:val="000E1D6B"/>
    <w:rsid w:val="000E327B"/>
    <w:rsid w:val="000E4603"/>
    <w:rsid w:val="00101D33"/>
    <w:rsid w:val="00123EB7"/>
    <w:rsid w:val="00155A88"/>
    <w:rsid w:val="00160F45"/>
    <w:rsid w:val="00172040"/>
    <w:rsid w:val="00190C54"/>
    <w:rsid w:val="001A5B38"/>
    <w:rsid w:val="001A73C9"/>
    <w:rsid w:val="001B16F5"/>
    <w:rsid w:val="001B1731"/>
    <w:rsid w:val="001E3EF5"/>
    <w:rsid w:val="001F5CEE"/>
    <w:rsid w:val="00203D53"/>
    <w:rsid w:val="00220AE2"/>
    <w:rsid w:val="002214F4"/>
    <w:rsid w:val="00235FF0"/>
    <w:rsid w:val="00237804"/>
    <w:rsid w:val="00251368"/>
    <w:rsid w:val="00263A24"/>
    <w:rsid w:val="00263DC2"/>
    <w:rsid w:val="00264B5F"/>
    <w:rsid w:val="00266530"/>
    <w:rsid w:val="00286164"/>
    <w:rsid w:val="002959AD"/>
    <w:rsid w:val="002E3A86"/>
    <w:rsid w:val="002F5197"/>
    <w:rsid w:val="0030306D"/>
    <w:rsid w:val="003400B6"/>
    <w:rsid w:val="00343E77"/>
    <w:rsid w:val="00346428"/>
    <w:rsid w:val="00347022"/>
    <w:rsid w:val="00347626"/>
    <w:rsid w:val="0036137A"/>
    <w:rsid w:val="00363483"/>
    <w:rsid w:val="003704AF"/>
    <w:rsid w:val="00387B96"/>
    <w:rsid w:val="003908F9"/>
    <w:rsid w:val="003A3048"/>
    <w:rsid w:val="003A5553"/>
    <w:rsid w:val="003B3BD5"/>
    <w:rsid w:val="003C30EC"/>
    <w:rsid w:val="003D7C98"/>
    <w:rsid w:val="003E4EFB"/>
    <w:rsid w:val="003F3163"/>
    <w:rsid w:val="003F6021"/>
    <w:rsid w:val="003F6401"/>
    <w:rsid w:val="0041420D"/>
    <w:rsid w:val="00426F09"/>
    <w:rsid w:val="00435AB4"/>
    <w:rsid w:val="0043771B"/>
    <w:rsid w:val="0044166F"/>
    <w:rsid w:val="00442A23"/>
    <w:rsid w:val="00473CD3"/>
    <w:rsid w:val="004D20B7"/>
    <w:rsid w:val="004E76F8"/>
    <w:rsid w:val="005303F5"/>
    <w:rsid w:val="005334C2"/>
    <w:rsid w:val="005340D4"/>
    <w:rsid w:val="00537588"/>
    <w:rsid w:val="0055784D"/>
    <w:rsid w:val="00557891"/>
    <w:rsid w:val="005618FF"/>
    <w:rsid w:val="00564000"/>
    <w:rsid w:val="00567576"/>
    <w:rsid w:val="00570FCE"/>
    <w:rsid w:val="005714B4"/>
    <w:rsid w:val="005837EE"/>
    <w:rsid w:val="0058496E"/>
    <w:rsid w:val="0059460D"/>
    <w:rsid w:val="005966DF"/>
    <w:rsid w:val="005D2120"/>
    <w:rsid w:val="005D2A92"/>
    <w:rsid w:val="005D73AC"/>
    <w:rsid w:val="005E0B50"/>
    <w:rsid w:val="005F740B"/>
    <w:rsid w:val="006101C2"/>
    <w:rsid w:val="006109F5"/>
    <w:rsid w:val="006175DC"/>
    <w:rsid w:val="00625EDE"/>
    <w:rsid w:val="006352B2"/>
    <w:rsid w:val="0064209B"/>
    <w:rsid w:val="006463C3"/>
    <w:rsid w:val="00653C04"/>
    <w:rsid w:val="00673A86"/>
    <w:rsid w:val="00674D82"/>
    <w:rsid w:val="00677F83"/>
    <w:rsid w:val="00682197"/>
    <w:rsid w:val="006823F4"/>
    <w:rsid w:val="00692494"/>
    <w:rsid w:val="00693317"/>
    <w:rsid w:val="00693A41"/>
    <w:rsid w:val="00696EA3"/>
    <w:rsid w:val="006A1D43"/>
    <w:rsid w:val="006A3268"/>
    <w:rsid w:val="006A3391"/>
    <w:rsid w:val="006B17CF"/>
    <w:rsid w:val="006B70E6"/>
    <w:rsid w:val="006E51D2"/>
    <w:rsid w:val="007215A0"/>
    <w:rsid w:val="0073684E"/>
    <w:rsid w:val="00742FEF"/>
    <w:rsid w:val="00757B47"/>
    <w:rsid w:val="00760E2A"/>
    <w:rsid w:val="00797C95"/>
    <w:rsid w:val="007A248C"/>
    <w:rsid w:val="007B1A7F"/>
    <w:rsid w:val="007B25F0"/>
    <w:rsid w:val="007C05D2"/>
    <w:rsid w:val="007C0921"/>
    <w:rsid w:val="007C5509"/>
    <w:rsid w:val="007D2BAE"/>
    <w:rsid w:val="007E3076"/>
    <w:rsid w:val="008110FE"/>
    <w:rsid w:val="00815985"/>
    <w:rsid w:val="00824250"/>
    <w:rsid w:val="00832529"/>
    <w:rsid w:val="008358EC"/>
    <w:rsid w:val="008B3647"/>
    <w:rsid w:val="008C0E95"/>
    <w:rsid w:val="008C2CD1"/>
    <w:rsid w:val="008E74F8"/>
    <w:rsid w:val="008F4FB4"/>
    <w:rsid w:val="008F6F21"/>
    <w:rsid w:val="009050E0"/>
    <w:rsid w:val="00914A0D"/>
    <w:rsid w:val="00922F4A"/>
    <w:rsid w:val="00925093"/>
    <w:rsid w:val="00926913"/>
    <w:rsid w:val="009270F6"/>
    <w:rsid w:val="0094071C"/>
    <w:rsid w:val="0094587A"/>
    <w:rsid w:val="009752FC"/>
    <w:rsid w:val="00976846"/>
    <w:rsid w:val="0098049C"/>
    <w:rsid w:val="00982A3A"/>
    <w:rsid w:val="00987C16"/>
    <w:rsid w:val="0099308E"/>
    <w:rsid w:val="00995A44"/>
    <w:rsid w:val="009A268B"/>
    <w:rsid w:val="009A35F5"/>
    <w:rsid w:val="009B0B01"/>
    <w:rsid w:val="009D0A90"/>
    <w:rsid w:val="009D409D"/>
    <w:rsid w:val="009D4D25"/>
    <w:rsid w:val="009E2C51"/>
    <w:rsid w:val="009F6848"/>
    <w:rsid w:val="00A122B7"/>
    <w:rsid w:val="00A20189"/>
    <w:rsid w:val="00A22FCB"/>
    <w:rsid w:val="00A3540D"/>
    <w:rsid w:val="00A35BF4"/>
    <w:rsid w:val="00A46CCB"/>
    <w:rsid w:val="00A53F4E"/>
    <w:rsid w:val="00A91174"/>
    <w:rsid w:val="00A9225C"/>
    <w:rsid w:val="00AA76F5"/>
    <w:rsid w:val="00AC7766"/>
    <w:rsid w:val="00AE0CDB"/>
    <w:rsid w:val="00AE6DB6"/>
    <w:rsid w:val="00AE7D02"/>
    <w:rsid w:val="00AF1D68"/>
    <w:rsid w:val="00AF53F3"/>
    <w:rsid w:val="00B15125"/>
    <w:rsid w:val="00B20625"/>
    <w:rsid w:val="00B20F6A"/>
    <w:rsid w:val="00B46108"/>
    <w:rsid w:val="00B54454"/>
    <w:rsid w:val="00B600B4"/>
    <w:rsid w:val="00B6267B"/>
    <w:rsid w:val="00B65573"/>
    <w:rsid w:val="00B712BA"/>
    <w:rsid w:val="00B7383E"/>
    <w:rsid w:val="00B74158"/>
    <w:rsid w:val="00B75CD7"/>
    <w:rsid w:val="00B869E3"/>
    <w:rsid w:val="00B86BD6"/>
    <w:rsid w:val="00BB36E1"/>
    <w:rsid w:val="00BB6858"/>
    <w:rsid w:val="00BD0967"/>
    <w:rsid w:val="00BD5320"/>
    <w:rsid w:val="00BD6BD7"/>
    <w:rsid w:val="00BE0162"/>
    <w:rsid w:val="00BE3489"/>
    <w:rsid w:val="00C04B39"/>
    <w:rsid w:val="00C10680"/>
    <w:rsid w:val="00C2238F"/>
    <w:rsid w:val="00C33820"/>
    <w:rsid w:val="00C50753"/>
    <w:rsid w:val="00C669B7"/>
    <w:rsid w:val="00C918D8"/>
    <w:rsid w:val="00CA2086"/>
    <w:rsid w:val="00CA47A5"/>
    <w:rsid w:val="00CA7878"/>
    <w:rsid w:val="00CD71C4"/>
    <w:rsid w:val="00CF170B"/>
    <w:rsid w:val="00D1699D"/>
    <w:rsid w:val="00D235C5"/>
    <w:rsid w:val="00D27584"/>
    <w:rsid w:val="00D52EFC"/>
    <w:rsid w:val="00D708AF"/>
    <w:rsid w:val="00D764F2"/>
    <w:rsid w:val="00D8043C"/>
    <w:rsid w:val="00D81DEC"/>
    <w:rsid w:val="00D82A8E"/>
    <w:rsid w:val="00DA33BB"/>
    <w:rsid w:val="00DA60C1"/>
    <w:rsid w:val="00DB50BE"/>
    <w:rsid w:val="00DD1A9B"/>
    <w:rsid w:val="00DD4706"/>
    <w:rsid w:val="00DE2B89"/>
    <w:rsid w:val="00DE46F2"/>
    <w:rsid w:val="00DF63BC"/>
    <w:rsid w:val="00E11DD6"/>
    <w:rsid w:val="00E12DE6"/>
    <w:rsid w:val="00E247A0"/>
    <w:rsid w:val="00E33327"/>
    <w:rsid w:val="00E35421"/>
    <w:rsid w:val="00E634FE"/>
    <w:rsid w:val="00E76AAF"/>
    <w:rsid w:val="00E867BE"/>
    <w:rsid w:val="00E8701E"/>
    <w:rsid w:val="00E95121"/>
    <w:rsid w:val="00EB322C"/>
    <w:rsid w:val="00EB4561"/>
    <w:rsid w:val="00EB475E"/>
    <w:rsid w:val="00EC5185"/>
    <w:rsid w:val="00EC7B56"/>
    <w:rsid w:val="00ED378A"/>
    <w:rsid w:val="00EE2344"/>
    <w:rsid w:val="00EE7A20"/>
    <w:rsid w:val="00F2126F"/>
    <w:rsid w:val="00F430C7"/>
    <w:rsid w:val="00F47D24"/>
    <w:rsid w:val="00F55A02"/>
    <w:rsid w:val="00F73629"/>
    <w:rsid w:val="00F85127"/>
    <w:rsid w:val="00F87ECC"/>
    <w:rsid w:val="00FB277E"/>
    <w:rsid w:val="00FC2646"/>
    <w:rsid w:val="00FC39DA"/>
    <w:rsid w:val="00FE2D80"/>
    <w:rsid w:val="00FE3A12"/>
    <w:rsid w:val="00FE3DFF"/>
    <w:rsid w:val="00FE4D6B"/>
    <w:rsid w:val="00FF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5EE1F"/>
  <w15:chartTrackingRefBased/>
  <w15:docId w15:val="{8F21DFEE-7BC3-4D4F-8E78-25134253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56"/>
  </w:style>
  <w:style w:type="paragraph" w:styleId="Heading1">
    <w:name w:val="heading 1"/>
    <w:aliases w:val="Title Heading"/>
    <w:basedOn w:val="Normal"/>
    <w:next w:val="Normal"/>
    <w:link w:val="Heading1Char"/>
    <w:uiPriority w:val="9"/>
    <w:qFormat/>
    <w:rsid w:val="00976846"/>
    <w:pPr>
      <w:keepNext/>
      <w:keepLines/>
      <w:spacing w:before="240" w:after="0"/>
      <w:outlineLvl w:val="0"/>
    </w:pPr>
    <w:rPr>
      <w:rFonts w:eastAsiaTheme="majorEastAsia" w:cstheme="majorBidi"/>
      <w:b/>
      <w:color w:val="2F5496" w:themeColor="accent1" w:themeShade="BF"/>
      <w:sz w:val="52"/>
      <w:szCs w:val="32"/>
    </w:rPr>
  </w:style>
  <w:style w:type="paragraph" w:styleId="Heading2">
    <w:name w:val="heading 2"/>
    <w:aliases w:val="Intro Heading"/>
    <w:basedOn w:val="Normal"/>
    <w:next w:val="Normal"/>
    <w:link w:val="Heading2Char"/>
    <w:uiPriority w:val="9"/>
    <w:unhideWhenUsed/>
    <w:qFormat/>
    <w:rsid w:val="00976846"/>
    <w:pPr>
      <w:keepNext/>
      <w:keepLines/>
      <w:spacing w:before="40" w:after="0"/>
      <w:outlineLvl w:val="1"/>
    </w:pPr>
    <w:rPr>
      <w:rFonts w:eastAsiaTheme="majorEastAsia" w:cstheme="majorBidi"/>
      <w:b/>
      <w:color w:val="808285"/>
      <w:sz w:val="32"/>
      <w:szCs w:val="26"/>
    </w:rPr>
  </w:style>
  <w:style w:type="paragraph" w:styleId="Heading3">
    <w:name w:val="heading 3"/>
    <w:aliases w:val="Intro Paragraph"/>
    <w:basedOn w:val="Normal"/>
    <w:next w:val="Normal"/>
    <w:link w:val="Heading3Char"/>
    <w:uiPriority w:val="9"/>
    <w:unhideWhenUsed/>
    <w:qFormat/>
    <w:rsid w:val="00976846"/>
    <w:pPr>
      <w:keepNext/>
      <w:keepLines/>
      <w:spacing w:before="40" w:after="0"/>
      <w:outlineLvl w:val="2"/>
    </w:pPr>
    <w:rPr>
      <w:rFonts w:eastAsiaTheme="majorEastAsia" w:cstheme="majorBidi"/>
      <w:color w:val="808285"/>
      <w:sz w:val="32"/>
      <w:szCs w:val="24"/>
    </w:rPr>
  </w:style>
  <w:style w:type="paragraph" w:styleId="Heading4">
    <w:name w:val="heading 4"/>
    <w:basedOn w:val="Normal"/>
    <w:next w:val="Normal"/>
    <w:link w:val="Heading4Char"/>
    <w:uiPriority w:val="9"/>
    <w:unhideWhenUsed/>
    <w:rsid w:val="00976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768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97684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9768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9768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9768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846"/>
  </w:style>
  <w:style w:type="paragraph" w:styleId="Footer">
    <w:name w:val="footer"/>
    <w:basedOn w:val="Normal"/>
    <w:link w:val="FooterChar"/>
    <w:uiPriority w:val="98"/>
    <w:unhideWhenUsed/>
    <w:rsid w:val="00976846"/>
    <w:pPr>
      <w:tabs>
        <w:tab w:val="center" w:pos="4513"/>
        <w:tab w:val="right" w:pos="9026"/>
      </w:tabs>
      <w:spacing w:after="0" w:line="240" w:lineRule="auto"/>
    </w:pPr>
  </w:style>
  <w:style w:type="character" w:customStyle="1" w:styleId="FooterChar">
    <w:name w:val="Footer Char"/>
    <w:basedOn w:val="DefaultParagraphFont"/>
    <w:link w:val="Footer"/>
    <w:uiPriority w:val="98"/>
    <w:rsid w:val="00976846"/>
  </w:style>
  <w:style w:type="character" w:customStyle="1" w:styleId="Heading1Char">
    <w:name w:val="Heading 1 Char"/>
    <w:aliases w:val="Title Heading Char"/>
    <w:basedOn w:val="DefaultParagraphFont"/>
    <w:link w:val="Heading1"/>
    <w:uiPriority w:val="9"/>
    <w:rsid w:val="00976846"/>
    <w:rPr>
      <w:rFonts w:eastAsiaTheme="majorEastAsia" w:cstheme="majorBidi"/>
      <w:b/>
      <w:color w:val="2F5496" w:themeColor="accent1" w:themeShade="BF"/>
      <w:sz w:val="52"/>
      <w:szCs w:val="32"/>
    </w:rPr>
  </w:style>
  <w:style w:type="paragraph" w:styleId="NoSpacing">
    <w:name w:val="No Spacing"/>
    <w:link w:val="NoSpacingChar"/>
    <w:uiPriority w:val="1"/>
    <w:qFormat/>
    <w:rsid w:val="00976846"/>
    <w:pPr>
      <w:spacing w:after="0" w:line="240" w:lineRule="auto"/>
    </w:pPr>
  </w:style>
  <w:style w:type="character" w:customStyle="1" w:styleId="Heading2Char">
    <w:name w:val="Heading 2 Char"/>
    <w:aliases w:val="Intro Heading Char"/>
    <w:basedOn w:val="DefaultParagraphFont"/>
    <w:link w:val="Heading2"/>
    <w:uiPriority w:val="9"/>
    <w:rsid w:val="00976846"/>
    <w:rPr>
      <w:rFonts w:eastAsiaTheme="majorEastAsia" w:cstheme="majorBidi"/>
      <w:b/>
      <w:color w:val="808285"/>
      <w:sz w:val="32"/>
      <w:szCs w:val="26"/>
    </w:rPr>
  </w:style>
  <w:style w:type="character" w:customStyle="1" w:styleId="Heading3Char">
    <w:name w:val="Heading 3 Char"/>
    <w:aliases w:val="Intro Paragraph Char"/>
    <w:basedOn w:val="DefaultParagraphFont"/>
    <w:link w:val="Heading3"/>
    <w:uiPriority w:val="9"/>
    <w:rsid w:val="00976846"/>
    <w:rPr>
      <w:rFonts w:eastAsiaTheme="majorEastAsia" w:cstheme="majorBidi"/>
      <w:color w:val="808285"/>
      <w:sz w:val="32"/>
      <w:szCs w:val="24"/>
    </w:rPr>
  </w:style>
  <w:style w:type="character" w:customStyle="1" w:styleId="Heading4Char">
    <w:name w:val="Heading 4 Char"/>
    <w:basedOn w:val="DefaultParagraphFont"/>
    <w:link w:val="Heading4"/>
    <w:uiPriority w:val="9"/>
    <w:rsid w:val="00976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84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7684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768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9768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7684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976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846"/>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rsid w:val="00976846"/>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76846"/>
    <w:rPr>
      <w:rFonts w:asciiTheme="minorHAnsi" w:eastAsiaTheme="minorEastAsia" w:hAnsiTheme="minorHAnsi" w:cstheme="minorBidi"/>
      <w:color w:val="5A5A5A" w:themeColor="text1" w:themeTint="A5"/>
      <w:spacing w:val="15"/>
      <w:sz w:val="22"/>
    </w:rPr>
  </w:style>
  <w:style w:type="character" w:styleId="Strong">
    <w:name w:val="Strong"/>
    <w:basedOn w:val="DefaultParagraphFont"/>
    <w:uiPriority w:val="22"/>
    <w:rsid w:val="00976846"/>
    <w:rPr>
      <w:b/>
      <w:bCs/>
    </w:rPr>
  </w:style>
  <w:style w:type="paragraph" w:styleId="ListParagraph">
    <w:name w:val="List Paragraph"/>
    <w:basedOn w:val="Normal"/>
    <w:link w:val="ListParagraphChar"/>
    <w:uiPriority w:val="34"/>
    <w:rsid w:val="00976846"/>
    <w:pPr>
      <w:ind w:left="720"/>
      <w:contextualSpacing/>
    </w:pPr>
  </w:style>
  <w:style w:type="paragraph" w:customStyle="1" w:styleId="Heading1Heading1">
    <w:name w:val="Heading 1 Heading 1"/>
    <w:next w:val="Normal"/>
    <w:link w:val="Heading1Heading1Char"/>
    <w:qFormat/>
    <w:rsid w:val="00976846"/>
    <w:pPr>
      <w:spacing w:before="360"/>
    </w:pPr>
    <w:rPr>
      <w:b/>
      <w:sz w:val="28"/>
    </w:rPr>
  </w:style>
  <w:style w:type="paragraph" w:customStyle="1" w:styleId="Heading2Heading2">
    <w:name w:val="Heading 2 Heading 2"/>
    <w:basedOn w:val="Normal"/>
    <w:link w:val="Heading2Heading2Char"/>
    <w:qFormat/>
    <w:rsid w:val="00976846"/>
    <w:pPr>
      <w:spacing w:before="360"/>
    </w:pPr>
    <w:rPr>
      <w:b/>
    </w:rPr>
  </w:style>
  <w:style w:type="character" w:customStyle="1" w:styleId="Heading1Heading1Char">
    <w:name w:val="Heading 1 Heading 1 Char"/>
    <w:basedOn w:val="DefaultParagraphFont"/>
    <w:link w:val="Heading1Heading1"/>
    <w:rsid w:val="00976846"/>
    <w:rPr>
      <w:b/>
      <w:color w:val="auto"/>
      <w:sz w:val="28"/>
    </w:rPr>
  </w:style>
  <w:style w:type="paragraph" w:customStyle="1" w:styleId="ListBulletPoint">
    <w:name w:val="List Bullet Point"/>
    <w:basedOn w:val="ListParagraph"/>
    <w:link w:val="ListBulletPointChar"/>
    <w:qFormat/>
    <w:rsid w:val="00976846"/>
    <w:pPr>
      <w:numPr>
        <w:numId w:val="1"/>
      </w:numPr>
      <w:spacing w:before="120" w:after="280"/>
    </w:pPr>
  </w:style>
  <w:style w:type="character" w:customStyle="1" w:styleId="Heading2Heading2Char">
    <w:name w:val="Heading 2 Heading 2 Char"/>
    <w:basedOn w:val="DefaultParagraphFont"/>
    <w:link w:val="Heading2Heading2"/>
    <w:rsid w:val="00976846"/>
    <w:rPr>
      <w:b/>
      <w:color w:val="auto"/>
    </w:rPr>
  </w:style>
  <w:style w:type="table" w:styleId="TableGrid">
    <w:name w:val="Table Grid"/>
    <w:basedOn w:val="TableNormal"/>
    <w:uiPriority w:val="59"/>
    <w:rsid w:val="00976846"/>
    <w:pPr>
      <w:spacing w:after="0" w:line="240" w:lineRule="auto"/>
    </w:pPr>
    <w:rPr>
      <w:rFonts w:eastAsiaTheme="minorEastAsia"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6846"/>
    <w:rPr>
      <w:color w:val="auto"/>
    </w:rPr>
  </w:style>
  <w:style w:type="character" w:customStyle="1" w:styleId="ListBulletPointChar">
    <w:name w:val="List Bullet Point Char"/>
    <w:basedOn w:val="ListParagraphChar"/>
    <w:link w:val="ListBulletPoint"/>
    <w:rsid w:val="00976846"/>
    <w:rPr>
      <w:color w:val="auto"/>
    </w:rPr>
  </w:style>
  <w:style w:type="paragraph" w:customStyle="1" w:styleId="Pagenumbers">
    <w:name w:val="Page numbers"/>
    <w:basedOn w:val="Normal"/>
    <w:link w:val="PagenumbersChar"/>
    <w:qFormat/>
    <w:rsid w:val="00976846"/>
    <w:pPr>
      <w:spacing w:after="0" w:line="240" w:lineRule="auto"/>
    </w:pPr>
    <w:rPr>
      <w:rFonts w:eastAsiaTheme="minorEastAsia" w:cstheme="minorBidi"/>
      <w:sz w:val="18"/>
      <w:szCs w:val="18"/>
    </w:rPr>
  </w:style>
  <w:style w:type="character" w:customStyle="1" w:styleId="PagenumbersChar">
    <w:name w:val="Page numbers Char"/>
    <w:basedOn w:val="DefaultParagraphFont"/>
    <w:link w:val="Pagenumbers"/>
    <w:rsid w:val="00976846"/>
    <w:rPr>
      <w:rFonts w:eastAsiaTheme="minorEastAsia" w:cstheme="minorBidi"/>
      <w:color w:val="auto"/>
      <w:sz w:val="18"/>
      <w:szCs w:val="18"/>
    </w:rPr>
  </w:style>
  <w:style w:type="paragraph" w:styleId="FootnoteText">
    <w:name w:val="footnote text"/>
    <w:basedOn w:val="Normal"/>
    <w:link w:val="FootnoteTextChar"/>
    <w:uiPriority w:val="99"/>
    <w:semiHidden/>
    <w:unhideWhenUsed/>
    <w:rsid w:val="00EC7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56"/>
    <w:rPr>
      <w:color w:val="auto"/>
      <w:sz w:val="20"/>
      <w:szCs w:val="20"/>
    </w:rPr>
  </w:style>
  <w:style w:type="character" w:styleId="FootnoteReference">
    <w:name w:val="footnote reference"/>
    <w:basedOn w:val="DefaultParagraphFont"/>
    <w:uiPriority w:val="99"/>
    <w:semiHidden/>
    <w:unhideWhenUsed/>
    <w:rsid w:val="00EC7B56"/>
    <w:rPr>
      <w:vertAlign w:val="superscript"/>
    </w:rPr>
  </w:style>
  <w:style w:type="table" w:customStyle="1" w:styleId="TableGrid2">
    <w:name w:val="Table Grid2"/>
    <w:basedOn w:val="TableNormal"/>
    <w:next w:val="TableGrid"/>
    <w:uiPriority w:val="59"/>
    <w:rsid w:val="0043771B"/>
    <w:pPr>
      <w:spacing w:after="0" w:line="240" w:lineRule="auto"/>
    </w:pPr>
    <w:rPr>
      <w:rFonts w:eastAsiaTheme="minorEastAsia"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377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1">
    <w:name w:val="Table heading 1"/>
    <w:basedOn w:val="Normal"/>
    <w:link w:val="Tableheading1Char"/>
    <w:qFormat/>
    <w:rsid w:val="00DF63BC"/>
    <w:pPr>
      <w:spacing w:before="120" w:after="120" w:line="240" w:lineRule="auto"/>
    </w:pPr>
    <w:rPr>
      <w:rFonts w:ascii="Arial Bold" w:hAnsi="Arial Bold"/>
      <w:b/>
      <w:bCs/>
    </w:rPr>
  </w:style>
  <w:style w:type="paragraph" w:customStyle="1" w:styleId="Tablecontent1">
    <w:name w:val="Table content 1"/>
    <w:basedOn w:val="Normal"/>
    <w:link w:val="Tablecontent1Char"/>
    <w:qFormat/>
    <w:rsid w:val="00DF63BC"/>
    <w:pPr>
      <w:spacing w:before="120" w:after="120" w:line="240" w:lineRule="auto"/>
    </w:pPr>
  </w:style>
  <w:style w:type="character" w:customStyle="1" w:styleId="Tableheading1Char">
    <w:name w:val="Table heading 1 Char"/>
    <w:basedOn w:val="DefaultParagraphFont"/>
    <w:link w:val="Tableheading1"/>
    <w:rsid w:val="00DF63BC"/>
    <w:rPr>
      <w:rFonts w:ascii="Arial Bold" w:hAnsi="Arial Bold"/>
      <w:b/>
      <w:bCs/>
      <w:color w:val="auto"/>
    </w:rPr>
  </w:style>
  <w:style w:type="paragraph" w:customStyle="1" w:styleId="ContactDetails">
    <w:name w:val="Contact Details"/>
    <w:basedOn w:val="Normal"/>
    <w:link w:val="ContactDetailsChar"/>
    <w:qFormat/>
    <w:rsid w:val="00DF63BC"/>
    <w:pPr>
      <w:spacing w:before="120" w:after="0" w:line="240" w:lineRule="auto"/>
    </w:pPr>
    <w:rPr>
      <w:rFonts w:eastAsiaTheme="minorEastAsia" w:cstheme="minorBidi"/>
      <w:b/>
      <w:sz w:val="22"/>
    </w:rPr>
  </w:style>
  <w:style w:type="character" w:customStyle="1" w:styleId="Tablecontent1Char">
    <w:name w:val="Table content 1 Char"/>
    <w:basedOn w:val="DefaultParagraphFont"/>
    <w:link w:val="Tablecontent1"/>
    <w:rsid w:val="00DF63BC"/>
    <w:rPr>
      <w:color w:val="auto"/>
    </w:rPr>
  </w:style>
  <w:style w:type="character" w:customStyle="1" w:styleId="ContactDetailsChar">
    <w:name w:val="Contact Details Char"/>
    <w:basedOn w:val="DefaultParagraphFont"/>
    <w:link w:val="ContactDetails"/>
    <w:rsid w:val="00DF63BC"/>
    <w:rPr>
      <w:rFonts w:eastAsiaTheme="minorEastAsia" w:cstheme="minorBidi"/>
      <w:b/>
      <w:color w:val="auto"/>
      <w:sz w:val="22"/>
    </w:rPr>
  </w:style>
  <w:style w:type="character" w:customStyle="1" w:styleId="NoSpacingChar">
    <w:name w:val="No Spacing Char"/>
    <w:basedOn w:val="DefaultParagraphFont"/>
    <w:link w:val="NoSpacing"/>
    <w:uiPriority w:val="1"/>
    <w:rsid w:val="00BD0967"/>
  </w:style>
  <w:style w:type="paragraph" w:styleId="TOCHeading">
    <w:name w:val="TOC Heading"/>
    <w:basedOn w:val="Heading1"/>
    <w:next w:val="Normal"/>
    <w:uiPriority w:val="39"/>
    <w:unhideWhenUsed/>
    <w:qFormat/>
    <w:rsid w:val="00BD0967"/>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8110FE"/>
    <w:pPr>
      <w:tabs>
        <w:tab w:val="right" w:leader="dot" w:pos="9322"/>
      </w:tabs>
      <w:spacing w:after="100"/>
      <w:ind w:left="426" w:hanging="284"/>
    </w:pPr>
  </w:style>
  <w:style w:type="paragraph" w:styleId="TOC2">
    <w:name w:val="toc 2"/>
    <w:basedOn w:val="Normal"/>
    <w:next w:val="Normal"/>
    <w:autoRedefine/>
    <w:uiPriority w:val="39"/>
    <w:unhideWhenUsed/>
    <w:rsid w:val="00BD0967"/>
    <w:pPr>
      <w:spacing w:after="100"/>
      <w:ind w:left="240"/>
    </w:pPr>
  </w:style>
  <w:style w:type="paragraph" w:styleId="TOC3">
    <w:name w:val="toc 3"/>
    <w:basedOn w:val="Normal"/>
    <w:next w:val="Normal"/>
    <w:autoRedefine/>
    <w:uiPriority w:val="39"/>
    <w:unhideWhenUsed/>
    <w:rsid w:val="00BD0967"/>
    <w:pPr>
      <w:spacing w:after="100"/>
      <w:ind w:left="480"/>
    </w:pPr>
  </w:style>
  <w:style w:type="character" w:styleId="Hyperlink">
    <w:name w:val="Hyperlink"/>
    <w:basedOn w:val="DefaultParagraphFont"/>
    <w:uiPriority w:val="99"/>
    <w:unhideWhenUsed/>
    <w:rsid w:val="00BD0967"/>
    <w:rPr>
      <w:color w:val="0563C1" w:themeColor="hyperlink"/>
      <w:u w:val="single"/>
    </w:rPr>
  </w:style>
  <w:style w:type="character" w:customStyle="1" w:styleId="TableHeading1Char0">
    <w:name w:val="Table Heading 1 Char"/>
    <w:basedOn w:val="DefaultParagraphFont"/>
    <w:link w:val="TableHeading10"/>
    <w:locked/>
    <w:rsid w:val="007C5509"/>
    <w:rPr>
      <w:rFonts w:ascii="Arial Bold" w:eastAsia="Times New Roman" w:hAnsi="Arial Bold" w:cs="Times New Roman"/>
      <w:b/>
      <w:bCs/>
      <w:noProof/>
    </w:rPr>
  </w:style>
  <w:style w:type="paragraph" w:customStyle="1" w:styleId="TableHeading10">
    <w:name w:val="Table Heading 1"/>
    <w:link w:val="TableHeading1Char0"/>
    <w:qFormat/>
    <w:rsid w:val="007C5509"/>
    <w:pPr>
      <w:spacing w:before="120" w:after="120" w:line="240" w:lineRule="auto"/>
    </w:pPr>
    <w:rPr>
      <w:rFonts w:ascii="Arial Bold" w:eastAsia="Times New Roman" w:hAnsi="Arial Bold" w:cs="Times New Roman"/>
      <w:b/>
      <w:bCs/>
      <w:noProof/>
    </w:rPr>
  </w:style>
  <w:style w:type="character" w:customStyle="1" w:styleId="TableTitleChar">
    <w:name w:val="Table Title Char"/>
    <w:basedOn w:val="DefaultParagraphFont"/>
    <w:link w:val="TableTitle"/>
    <w:locked/>
    <w:rsid w:val="007C5509"/>
    <w:rPr>
      <w:rFonts w:ascii="Times New Roman" w:eastAsia="Times New Roman" w:hAnsi="Times New Roman" w:cs="Times New Roman"/>
      <w:b/>
      <w:bCs/>
      <w:noProof/>
      <w:color w:val="404040" w:themeColor="text1" w:themeTint="BF"/>
    </w:rPr>
  </w:style>
  <w:style w:type="paragraph" w:customStyle="1" w:styleId="TableTitle">
    <w:name w:val="Table Title"/>
    <w:link w:val="TableTitleChar"/>
    <w:qFormat/>
    <w:rsid w:val="007C5509"/>
    <w:pPr>
      <w:spacing w:after="120" w:line="240" w:lineRule="auto"/>
    </w:pPr>
    <w:rPr>
      <w:rFonts w:ascii="Times New Roman" w:eastAsia="Times New Roman" w:hAnsi="Times New Roman" w:cs="Times New Roman"/>
      <w:b/>
      <w:bCs/>
      <w:noProof/>
      <w:color w:val="404040" w:themeColor="text1" w:themeTint="BF"/>
    </w:rPr>
  </w:style>
  <w:style w:type="character" w:customStyle="1" w:styleId="TableTextChar">
    <w:name w:val="Table Text Char"/>
    <w:basedOn w:val="DefaultParagraphFont"/>
    <w:link w:val="TableText"/>
    <w:locked/>
    <w:rsid w:val="007C5509"/>
    <w:rPr>
      <w:rFonts w:ascii="Times New Roman" w:eastAsia="Times New Roman" w:hAnsi="Times New Roman" w:cs="Times New Roman"/>
      <w:color w:val="000000" w:themeColor="text1"/>
      <w:szCs w:val="20"/>
      <w:lang w:eastAsia="en-AU"/>
    </w:rPr>
  </w:style>
  <w:style w:type="paragraph" w:customStyle="1" w:styleId="TableText">
    <w:name w:val="Table Text"/>
    <w:link w:val="TableTextChar"/>
    <w:rsid w:val="007C5509"/>
    <w:pPr>
      <w:spacing w:before="80" w:after="80" w:line="240" w:lineRule="auto"/>
    </w:pPr>
    <w:rPr>
      <w:rFonts w:ascii="Times New Roman" w:eastAsia="Times New Roman" w:hAnsi="Times New Roman" w:cs="Times New Roman"/>
      <w:color w:val="000000" w:themeColor="text1"/>
      <w:szCs w:val="20"/>
      <w:lang w:eastAsia="en-AU"/>
    </w:rPr>
  </w:style>
  <w:style w:type="table" w:customStyle="1" w:styleId="DPCTable2">
    <w:name w:val="DPC Table 2"/>
    <w:basedOn w:val="TableTheme"/>
    <w:uiPriority w:val="99"/>
    <w:rsid w:val="007C5509"/>
    <w:pPr>
      <w:spacing w:before="120" w:after="120" w:line="280" w:lineRule="exact"/>
    </w:pPr>
    <w:rPr>
      <w:rFonts w:eastAsiaTheme="minorEastAsia" w:cstheme="minorBidi"/>
      <w:color w:val="000000" w:themeColor="text1"/>
      <w:sz w:val="22"/>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00" w:beforeAutospacing="1" w:afterLines="0" w:after="100" w:afterAutospacing="1" w:line="240" w:lineRule="auto"/>
        <w:jc w:val="left"/>
        <w:outlineLvl w:val="9"/>
      </w:pPr>
      <w:rPr>
        <w:rFonts w:ascii="Arial" w:hAnsi="Arial" w:cs="Arial" w:hint="default"/>
        <w:b/>
        <w:sz w:val="22"/>
        <w:szCs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table" w:styleId="TableTheme">
    <w:name w:val="Table Theme"/>
    <w:basedOn w:val="TableNormal"/>
    <w:uiPriority w:val="99"/>
    <w:semiHidden/>
    <w:unhideWhenUsed/>
    <w:rsid w:val="007C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0FE"/>
    <w:rPr>
      <w:rFonts w:ascii="Segoe UI" w:hAnsi="Segoe UI" w:cs="Segoe UI"/>
      <w:sz w:val="18"/>
      <w:szCs w:val="18"/>
    </w:rPr>
  </w:style>
  <w:style w:type="paragraph" w:customStyle="1" w:styleId="numberedlist">
    <w:name w:val="numbered list"/>
    <w:basedOn w:val="ListParagraph"/>
    <w:link w:val="numberedlistChar"/>
    <w:qFormat/>
    <w:rsid w:val="006B70E6"/>
    <w:pPr>
      <w:numPr>
        <w:numId w:val="16"/>
      </w:numPr>
      <w:spacing w:after="120" w:line="240" w:lineRule="auto"/>
      <w:contextualSpacing w:val="0"/>
    </w:pPr>
    <w:rPr>
      <w:rFonts w:eastAsiaTheme="minorEastAsia" w:cstheme="minorBidi"/>
      <w:sz w:val="22"/>
    </w:rPr>
  </w:style>
  <w:style w:type="character" w:customStyle="1" w:styleId="numberedlistChar">
    <w:name w:val="numbered list Char"/>
    <w:basedOn w:val="DefaultParagraphFont"/>
    <w:link w:val="numberedlist"/>
    <w:rsid w:val="006B70E6"/>
    <w:rPr>
      <w:rFonts w:eastAsiaTheme="minorEastAsia" w:cstheme="minorBidi"/>
      <w:sz w:val="22"/>
    </w:rPr>
  </w:style>
  <w:style w:type="character" w:styleId="UnresolvedMention">
    <w:name w:val="Unresolved Mention"/>
    <w:basedOn w:val="DefaultParagraphFont"/>
    <w:uiPriority w:val="99"/>
    <w:semiHidden/>
    <w:unhideWhenUsed/>
    <w:rsid w:val="00D8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334">
      <w:bodyDiv w:val="1"/>
      <w:marLeft w:val="0"/>
      <w:marRight w:val="0"/>
      <w:marTop w:val="0"/>
      <w:marBottom w:val="0"/>
      <w:divBdr>
        <w:top w:val="none" w:sz="0" w:space="0" w:color="auto"/>
        <w:left w:val="none" w:sz="0" w:space="0" w:color="auto"/>
        <w:bottom w:val="none" w:sz="0" w:space="0" w:color="auto"/>
        <w:right w:val="none" w:sz="0" w:space="0" w:color="auto"/>
      </w:divBdr>
    </w:div>
    <w:div w:id="427240207">
      <w:bodyDiv w:val="1"/>
      <w:marLeft w:val="0"/>
      <w:marRight w:val="0"/>
      <w:marTop w:val="0"/>
      <w:marBottom w:val="0"/>
      <w:divBdr>
        <w:top w:val="none" w:sz="0" w:space="0" w:color="auto"/>
        <w:left w:val="none" w:sz="0" w:space="0" w:color="auto"/>
        <w:bottom w:val="none" w:sz="0" w:space="0" w:color="auto"/>
        <w:right w:val="none" w:sz="0" w:space="0" w:color="auto"/>
      </w:divBdr>
    </w:div>
    <w:div w:id="502861712">
      <w:bodyDiv w:val="1"/>
      <w:marLeft w:val="0"/>
      <w:marRight w:val="0"/>
      <w:marTop w:val="0"/>
      <w:marBottom w:val="0"/>
      <w:divBdr>
        <w:top w:val="none" w:sz="0" w:space="0" w:color="auto"/>
        <w:left w:val="none" w:sz="0" w:space="0" w:color="auto"/>
        <w:bottom w:val="none" w:sz="0" w:space="0" w:color="auto"/>
        <w:right w:val="none" w:sz="0" w:space="0" w:color="auto"/>
      </w:divBdr>
    </w:div>
    <w:div w:id="1843472478">
      <w:bodyDiv w:val="1"/>
      <w:marLeft w:val="0"/>
      <w:marRight w:val="0"/>
      <w:marTop w:val="0"/>
      <w:marBottom w:val="0"/>
      <w:divBdr>
        <w:top w:val="none" w:sz="0" w:space="0" w:color="auto"/>
        <w:left w:val="none" w:sz="0" w:space="0" w:color="auto"/>
        <w:bottom w:val="none" w:sz="0" w:space="0" w:color="auto"/>
        <w:right w:val="none" w:sz="0" w:space="0" w:color="auto"/>
      </w:divBdr>
    </w:div>
    <w:div w:id="1875535382">
      <w:bodyDiv w:val="1"/>
      <w:marLeft w:val="0"/>
      <w:marRight w:val="0"/>
      <w:marTop w:val="0"/>
      <w:marBottom w:val="0"/>
      <w:divBdr>
        <w:top w:val="none" w:sz="0" w:space="0" w:color="auto"/>
        <w:left w:val="none" w:sz="0" w:space="0" w:color="auto"/>
        <w:bottom w:val="none" w:sz="0" w:space="0" w:color="auto"/>
        <w:right w:val="none" w:sz="0" w:space="0" w:color="auto"/>
      </w:divBdr>
    </w:div>
    <w:div w:id="19592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australia.com" TargetMode="External"/><Relationship Id="rId13" Type="http://schemas.openxmlformats.org/officeDocument/2006/relationships/hyperlink" Target="https://www.dpc.sa.gov.au/responsibilities/arts-and-culture/arts-plan/recommendations-and-governments-response/Statutory-Authority-Governance-Structures-Review-Repor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pc.sa.gov.au/responsibilities/arts-and-culture/grants/individuals-groups-organisations/major-collaboration" TargetMode="External"/><Relationship Id="rId17" Type="http://schemas.openxmlformats.org/officeDocument/2006/relationships/hyperlink" Target="https://www.dpc.sa.gov.au/responsibilities/arts-and-culture/grants/individuals-groups-organisations/major-collaboration" TargetMode="External"/><Relationship Id="rId2" Type="http://schemas.openxmlformats.org/officeDocument/2006/relationships/numbering" Target="numbering.xml"/><Relationship Id="rId16" Type="http://schemas.openxmlformats.org/officeDocument/2006/relationships/hyperlink" Target="https://www.dpc.sa.gov.au/responsibilities/arts-and-culture/arts-plan/recommendations-and-governments-response/Statutory-Authority-Governance-Structures-Review-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c.sa.gov.au/responsibilities/arts-and-culture/grants" TargetMode="External"/><Relationship Id="rId5" Type="http://schemas.openxmlformats.org/officeDocument/2006/relationships/webSettings" Target="webSettings.xml"/><Relationship Id="rId15" Type="http://schemas.openxmlformats.org/officeDocument/2006/relationships/hyperlink" Target="http://www.creativepartnershipsaustralia.org.au/" TargetMode="External"/><Relationship Id="rId10" Type="http://schemas.openxmlformats.org/officeDocument/2006/relationships/hyperlink" Target="https://www.dpc.sa.gov.au/responsibilities/arts-and-culture/gra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c.sa.gov.au/responsibilities/arts-and-culture/grants" TargetMode="External"/><Relationship Id="rId14" Type="http://schemas.openxmlformats.org/officeDocument/2006/relationships/hyperlink" Target="https://www.dpc.sa.gov.au/responsibilities/arts-and-culture/arts-plan/recommendations-and-governments-response/Statutory-Authority-Governance-Structures-Review-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F9F5-FB6F-4AC3-8717-7E9CB6D7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6532</Words>
  <Characters>37237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Arts and Culture Plan South Australia     2019-2024</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Plan South Australia     2019-2024</dc:title>
  <dc:subject>Recommendations and the government’s response</dc:subject>
  <dc:creator>Stephanie Baker</dc:creator>
  <cp:keywords/>
  <dc:description/>
  <cp:lastModifiedBy>Mackereth, Mutsa (DPC)</cp:lastModifiedBy>
  <cp:revision>3</cp:revision>
  <dcterms:created xsi:type="dcterms:W3CDTF">2020-10-01T01:03:00Z</dcterms:created>
  <dcterms:modified xsi:type="dcterms:W3CDTF">2021-02-11T00:31:00Z</dcterms:modified>
</cp:coreProperties>
</file>