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D1C" w:rsidRDefault="00DF08EC" w:rsidP="00BF53F5">
      <w:pPr>
        <w:tabs>
          <w:tab w:val="right" w:pos="8931"/>
        </w:tabs>
        <w:rPr>
          <w:color w:val="FF0000"/>
        </w:rPr>
      </w:pPr>
      <w:r w:rsidRPr="00C565F4">
        <w:rPr>
          <w:color w:val="FF0000"/>
        </w:rPr>
        <w:tab/>
      </w:r>
      <w:r w:rsidRPr="00C565F4">
        <w:rPr>
          <w:noProof/>
          <w:color w:val="FF0000"/>
          <w:lang w:eastAsia="en-AU"/>
        </w:rPr>
        <w:drawing>
          <wp:inline distT="0" distB="0" distL="0" distR="0" wp14:anchorId="283174A8" wp14:editId="0C550975">
            <wp:extent cx="1144270" cy="1144270"/>
            <wp:effectExtent l="0" t="0" r="0" b="0"/>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44270" cy="1144270"/>
                    </a:xfrm>
                    <a:prstGeom prst="rect">
                      <a:avLst/>
                    </a:prstGeom>
                    <a:noFill/>
                    <a:ln>
                      <a:noFill/>
                    </a:ln>
                    <a:extLst>
                      <a:ext uri="{53640926-AAD7-44D8-BBD7-CCE9431645EC}">
                        <a14:shadowObscured xmlns:a14="http://schemas.microsoft.com/office/drawing/2010/main"/>
                      </a:ext>
                    </a:extLst>
                  </pic:spPr>
                </pic:pic>
              </a:graphicData>
            </a:graphic>
          </wp:inline>
        </w:drawing>
      </w:r>
    </w:p>
    <w:p w:rsidR="00D65F8B" w:rsidRPr="00C565F4" w:rsidRDefault="00C511A3" w:rsidP="00DF08EC">
      <w:pPr>
        <w:tabs>
          <w:tab w:val="right" w:pos="8789"/>
        </w:tabs>
        <w:rPr>
          <w:color w:val="FF0000"/>
        </w:rPr>
      </w:pPr>
      <w:r>
        <w:rPr>
          <w:noProof/>
          <w:color w:val="FF0000"/>
          <w:lang w:eastAsia="en-AU"/>
        </w:rPr>
        <mc:AlternateContent>
          <mc:Choice Requires="wps">
            <w:drawing>
              <wp:anchor distT="0" distB="0" distL="114300" distR="114300" simplePos="0" relativeHeight="251658240" behindDoc="0" locked="0" layoutInCell="1" allowOverlap="1" wp14:anchorId="49D7485D" wp14:editId="62FFE2F0">
                <wp:simplePos x="0" y="0"/>
                <wp:positionH relativeFrom="column">
                  <wp:posOffset>-907415</wp:posOffset>
                </wp:positionH>
                <wp:positionV relativeFrom="paragraph">
                  <wp:posOffset>66675</wp:posOffset>
                </wp:positionV>
                <wp:extent cx="7558405" cy="0"/>
                <wp:effectExtent l="0" t="19050" r="444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8405" cy="0"/>
                        </a:xfrm>
                        <a:prstGeom prst="straightConnector1">
                          <a:avLst/>
                        </a:prstGeom>
                        <a:noFill/>
                        <a:ln w="2857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71.45pt;margin-top:5.25pt;width:595.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" strokecolor="red" strokeweight="2.25pt">
                <v:shadow color="#622423" offset="1pt"/>
              </v:shape>
            </w:pict>
          </mc:Fallback>
        </mc:AlternateContent>
      </w:r>
    </w:p>
    <w:p w:rsidR="00D65F8B" w:rsidRDefault="00D65F8B" w:rsidP="00DF08EC">
      <w:pPr>
        <w:tabs>
          <w:tab w:val="right" w:pos="8789"/>
        </w:tabs>
        <w:jc w:val="center"/>
        <w:rPr>
          <w:b/>
          <w:color w:val="FF0000"/>
        </w:rPr>
      </w:pPr>
    </w:p>
    <w:p w:rsidR="00DF08EC" w:rsidRPr="00C565F4" w:rsidRDefault="00DF08EC" w:rsidP="00DF08EC">
      <w:pPr>
        <w:tabs>
          <w:tab w:val="right" w:pos="8789"/>
        </w:tabs>
        <w:jc w:val="center"/>
        <w:rPr>
          <w:b/>
          <w:color w:val="FF0000"/>
        </w:rPr>
      </w:pPr>
      <w:r w:rsidRPr="00C565F4">
        <w:rPr>
          <w:b/>
          <w:color w:val="FF0000"/>
        </w:rPr>
        <w:t>GUIDELINES FOR</w:t>
      </w:r>
      <w:r w:rsidR="009A78E7" w:rsidRPr="00C565F4">
        <w:rPr>
          <w:b/>
          <w:color w:val="FF0000"/>
        </w:rPr>
        <w:t xml:space="preserve"> </w:t>
      </w:r>
      <w:r w:rsidR="00D3603C" w:rsidRPr="00C565F4">
        <w:rPr>
          <w:b/>
          <w:color w:val="FF0000"/>
        </w:rPr>
        <w:t xml:space="preserve">APPLICATIONS TO THE </w:t>
      </w:r>
      <w:r w:rsidR="009A78E7" w:rsidRPr="00C565F4">
        <w:rPr>
          <w:b/>
          <w:color w:val="FF0000"/>
        </w:rPr>
        <w:t>STATE COORDINATOR-GENERAL</w:t>
      </w:r>
    </w:p>
    <w:p w:rsidR="00CE77E3" w:rsidRPr="00C565F4" w:rsidRDefault="00CE77E3" w:rsidP="00DF08EC">
      <w:pPr>
        <w:tabs>
          <w:tab w:val="right" w:pos="8789"/>
        </w:tabs>
        <w:jc w:val="center"/>
        <w:rPr>
          <w:color w:val="FF0000"/>
        </w:rPr>
      </w:pPr>
      <w:r w:rsidRPr="00C565F4">
        <w:rPr>
          <w:b/>
          <w:color w:val="FF0000"/>
        </w:rPr>
        <w:t xml:space="preserve">SCHEDULE 10, </w:t>
      </w:r>
      <w:r w:rsidR="000A2987">
        <w:rPr>
          <w:b/>
          <w:color w:val="FF0000"/>
        </w:rPr>
        <w:t>CLAUSE</w:t>
      </w:r>
      <w:r w:rsidRPr="00C565F4">
        <w:rPr>
          <w:b/>
          <w:color w:val="FF0000"/>
        </w:rPr>
        <w:t xml:space="preserve"> 20 OF THE DEVELOPMENT REGULATIONS 2008</w:t>
      </w:r>
    </w:p>
    <w:p w:rsidR="00590C5A" w:rsidRDefault="00590C5A" w:rsidP="00CE77E3"/>
    <w:p w:rsidR="002972CB" w:rsidRDefault="002972CB" w:rsidP="00CE77E3">
      <w:r>
        <w:rPr>
          <w:b/>
        </w:rPr>
        <w:t>Purpose</w:t>
      </w:r>
    </w:p>
    <w:p w:rsidR="002972CB" w:rsidRDefault="002972CB" w:rsidP="00CE77E3"/>
    <w:p w:rsidR="002972CB" w:rsidRPr="002972CB" w:rsidRDefault="009A78E7" w:rsidP="00CE77E3">
      <w:r>
        <w:t xml:space="preserve">These guidelines provide advice to proponents on the assessment process and information to accompany a request to the State Coordinator-General that the </w:t>
      </w:r>
      <w:r w:rsidR="001C77DF">
        <w:t xml:space="preserve">State Commission </w:t>
      </w:r>
      <w:r w:rsidR="00D87C95">
        <w:t xml:space="preserve">Assessment Panel </w:t>
      </w:r>
      <w:r w:rsidR="001C77DF">
        <w:t>(S</w:t>
      </w:r>
      <w:r w:rsidR="00D87C95">
        <w:t>CAP</w:t>
      </w:r>
      <w:r w:rsidR="001C77DF">
        <w:t>)</w:t>
      </w:r>
      <w:r w:rsidR="00962FF1">
        <w:t xml:space="preserve"> (formerly the Development Assessment Commission)</w:t>
      </w:r>
      <w:r w:rsidR="001C77DF">
        <w:t xml:space="preserve"> </w:t>
      </w:r>
      <w:r>
        <w:t>be appointed the relevant authority for a private sector development proposal.</w:t>
      </w:r>
    </w:p>
    <w:p w:rsidR="00590C5A" w:rsidRDefault="00590C5A" w:rsidP="00CE77E3"/>
    <w:p w:rsidR="00E85F88" w:rsidRDefault="00E85F88" w:rsidP="00CE77E3">
      <w:r>
        <w:rPr>
          <w:b/>
        </w:rPr>
        <w:t xml:space="preserve">What Proposals </w:t>
      </w:r>
      <w:proofErr w:type="gramStart"/>
      <w:r>
        <w:rPr>
          <w:b/>
        </w:rPr>
        <w:t>are</w:t>
      </w:r>
      <w:proofErr w:type="gramEnd"/>
      <w:r>
        <w:rPr>
          <w:b/>
        </w:rPr>
        <w:t xml:space="preserve"> Eligible</w:t>
      </w:r>
      <w:r w:rsidR="002972CB">
        <w:rPr>
          <w:b/>
        </w:rPr>
        <w:t>?</w:t>
      </w:r>
    </w:p>
    <w:p w:rsidR="00E85F88" w:rsidRDefault="00E85F88" w:rsidP="00CE77E3"/>
    <w:p w:rsidR="00E85F88" w:rsidRDefault="00E85F88" w:rsidP="00CE77E3">
      <w:r>
        <w:t xml:space="preserve">The State Coordinator-General </w:t>
      </w:r>
      <w:r w:rsidR="002F7562">
        <w:t xml:space="preserve">may </w:t>
      </w:r>
      <w:r>
        <w:t xml:space="preserve">offer case management to investment proposals when </w:t>
      </w:r>
      <w:r w:rsidR="00557A81">
        <w:t xml:space="preserve">capital works for </w:t>
      </w:r>
      <w:r>
        <w:t>all stages of the development are completed exceeds $5 million in Metropolitan Adelaide or exceeds $3 million outside Metropolitan Adelaide</w:t>
      </w:r>
      <w:r w:rsidR="00557A81">
        <w:t xml:space="preserve"> (threshold values)</w:t>
      </w:r>
      <w:r>
        <w:t>.</w:t>
      </w:r>
    </w:p>
    <w:p w:rsidR="00E85F88" w:rsidRDefault="00E85F88" w:rsidP="00CE77E3"/>
    <w:p w:rsidR="008973EA" w:rsidRDefault="008973EA" w:rsidP="00CE77E3">
      <w:r>
        <w:t>A boundary map for Metropolitan Adelaide</w:t>
      </w:r>
      <w:r w:rsidR="003E3089">
        <w:t xml:space="preserve"> as gazetted for the purposes of the Development Act </w:t>
      </w:r>
      <w:r>
        <w:t>is attached at Appendix A.</w:t>
      </w:r>
    </w:p>
    <w:p w:rsidR="008973EA" w:rsidRDefault="008973EA" w:rsidP="00CE77E3"/>
    <w:p w:rsidR="00350BB8" w:rsidRDefault="00E85F88" w:rsidP="00CE77E3">
      <w:r>
        <w:t xml:space="preserve">The proposal must satisfy the criteria prescribed in Schedule 10 of the Development Regulations 2008 </w:t>
      </w:r>
      <w:r w:rsidR="00AD4CA8">
        <w:t>but excludes development</w:t>
      </w:r>
      <w:bookmarkStart w:id="0" w:name="_GoBack"/>
      <w:bookmarkEnd w:id="0"/>
      <w:r w:rsidR="00AD4CA8">
        <w:t xml:space="preserve"> </w:t>
      </w:r>
      <w:r w:rsidR="00557A81">
        <w:t xml:space="preserve">solely </w:t>
      </w:r>
      <w:r>
        <w:t>for residential purposes.</w:t>
      </w:r>
    </w:p>
    <w:p w:rsidR="00350BB8" w:rsidRDefault="00350BB8" w:rsidP="00CE77E3"/>
    <w:p w:rsidR="00E85F88" w:rsidRDefault="00350BB8" w:rsidP="00CE77E3">
      <w:r>
        <w:t xml:space="preserve">Proposed developments which include </w:t>
      </w:r>
      <w:r w:rsidR="00557A81">
        <w:t>purpose-built student accommodation, aged care or serviced accommodation, industrial, commercial or retail uses can be considered if the works exceed the threshold values.</w:t>
      </w:r>
    </w:p>
    <w:p w:rsidR="00E85F88" w:rsidRDefault="00E85F88" w:rsidP="00CE77E3"/>
    <w:p w:rsidR="00BA3E33" w:rsidRPr="00BF53F5" w:rsidRDefault="00BA3E33" w:rsidP="00CE77E3">
      <w:pPr>
        <w:rPr>
          <w:rFonts w:cs="Arial"/>
        </w:rPr>
      </w:pPr>
      <w:r w:rsidRPr="00BF53F5">
        <w:rPr>
          <w:rFonts w:cs="Arial"/>
        </w:rPr>
        <w:t>The total amount to be applied to any work includes any amount to be applied to:</w:t>
      </w:r>
    </w:p>
    <w:p w:rsidR="00BA3E33" w:rsidRPr="00BF53F5" w:rsidRDefault="00BA3E33" w:rsidP="00CE77E3">
      <w:pPr>
        <w:rPr>
          <w:rFonts w:cs="Arial"/>
        </w:rPr>
      </w:pPr>
    </w:p>
    <w:p w:rsidR="00BA3E33" w:rsidRPr="00BF53F5" w:rsidRDefault="00BA3E33" w:rsidP="00BA3E33">
      <w:pPr>
        <w:pStyle w:val="Default"/>
        <w:tabs>
          <w:tab w:val="left" w:pos="1134"/>
        </w:tabs>
        <w:ind w:left="1134" w:hanging="414"/>
        <w:rPr>
          <w:rFonts w:ascii="Arial" w:hAnsi="Arial" w:cs="Arial"/>
          <w:sz w:val="22"/>
          <w:szCs w:val="22"/>
        </w:rPr>
      </w:pPr>
      <w:r w:rsidRPr="00BF53F5">
        <w:rPr>
          <w:rFonts w:ascii="Arial" w:hAnsi="Arial" w:cs="Arial"/>
          <w:sz w:val="22"/>
          <w:szCs w:val="22"/>
        </w:rPr>
        <w:t>(a)</w:t>
      </w:r>
      <w:r w:rsidRPr="00BF53F5">
        <w:rPr>
          <w:rFonts w:ascii="Arial" w:hAnsi="Arial" w:cs="Arial"/>
          <w:sz w:val="22"/>
          <w:szCs w:val="22"/>
        </w:rPr>
        <w:tab/>
      </w:r>
      <w:proofErr w:type="gramStart"/>
      <w:r w:rsidRPr="00BF53F5">
        <w:rPr>
          <w:rFonts w:ascii="Arial" w:hAnsi="Arial" w:cs="Arial"/>
          <w:sz w:val="22"/>
          <w:szCs w:val="22"/>
        </w:rPr>
        <w:t>any</w:t>
      </w:r>
      <w:proofErr w:type="gramEnd"/>
      <w:r w:rsidRPr="00BF53F5">
        <w:rPr>
          <w:rFonts w:ascii="Arial" w:hAnsi="Arial" w:cs="Arial"/>
          <w:sz w:val="22"/>
          <w:szCs w:val="22"/>
        </w:rPr>
        <w:t xml:space="preserve"> building or structure or any improvements or other physical changes to a building or structure; and</w:t>
      </w:r>
    </w:p>
    <w:p w:rsidR="00BA3E33" w:rsidRPr="00BF53F5" w:rsidRDefault="00BA3E33" w:rsidP="00BA3E33">
      <w:pPr>
        <w:pStyle w:val="Default"/>
        <w:tabs>
          <w:tab w:val="left" w:pos="1134"/>
        </w:tabs>
        <w:ind w:left="720"/>
        <w:rPr>
          <w:rFonts w:ascii="Arial" w:hAnsi="Arial" w:cs="Arial"/>
          <w:sz w:val="22"/>
          <w:szCs w:val="22"/>
        </w:rPr>
      </w:pPr>
      <w:r w:rsidRPr="00BF53F5">
        <w:rPr>
          <w:rFonts w:ascii="Arial" w:hAnsi="Arial" w:cs="Arial"/>
          <w:sz w:val="22"/>
          <w:szCs w:val="22"/>
        </w:rPr>
        <w:t>(b)</w:t>
      </w:r>
      <w:r w:rsidRPr="00BF53F5">
        <w:rPr>
          <w:rFonts w:ascii="Arial" w:hAnsi="Arial" w:cs="Arial"/>
          <w:sz w:val="22"/>
          <w:szCs w:val="22"/>
        </w:rPr>
        <w:tab/>
      </w:r>
      <w:proofErr w:type="gramStart"/>
      <w:r w:rsidRPr="00BF53F5">
        <w:rPr>
          <w:rFonts w:ascii="Arial" w:hAnsi="Arial" w:cs="Arial"/>
          <w:sz w:val="22"/>
          <w:szCs w:val="22"/>
        </w:rPr>
        <w:t>any</w:t>
      </w:r>
      <w:proofErr w:type="gramEnd"/>
      <w:r w:rsidRPr="00BF53F5">
        <w:rPr>
          <w:rFonts w:ascii="Arial" w:hAnsi="Arial" w:cs="Arial"/>
          <w:sz w:val="22"/>
          <w:szCs w:val="22"/>
        </w:rPr>
        <w:t xml:space="preserve"> improvements or physical changes to land; and</w:t>
      </w:r>
    </w:p>
    <w:p w:rsidR="00BA3E33" w:rsidRPr="00BF53F5" w:rsidRDefault="00BA3E33" w:rsidP="00BA3E33">
      <w:pPr>
        <w:pStyle w:val="Default"/>
        <w:tabs>
          <w:tab w:val="left" w:pos="1134"/>
        </w:tabs>
        <w:ind w:left="1134" w:hanging="414"/>
        <w:rPr>
          <w:rFonts w:ascii="Arial" w:hAnsi="Arial" w:cs="Arial"/>
          <w:sz w:val="22"/>
          <w:szCs w:val="22"/>
        </w:rPr>
      </w:pPr>
      <w:r w:rsidRPr="00BF53F5">
        <w:rPr>
          <w:rFonts w:ascii="Arial" w:hAnsi="Arial" w:cs="Arial"/>
          <w:sz w:val="22"/>
          <w:szCs w:val="22"/>
        </w:rPr>
        <w:t>(c)</w:t>
      </w:r>
      <w:r w:rsidRPr="00BF53F5">
        <w:rPr>
          <w:rFonts w:ascii="Arial" w:hAnsi="Arial" w:cs="Arial"/>
          <w:sz w:val="22"/>
          <w:szCs w:val="22"/>
        </w:rPr>
        <w:tab/>
      </w:r>
      <w:proofErr w:type="gramStart"/>
      <w:r w:rsidRPr="00BF53F5">
        <w:rPr>
          <w:rFonts w:ascii="Arial" w:hAnsi="Arial" w:cs="Arial"/>
          <w:sz w:val="22"/>
          <w:szCs w:val="22"/>
        </w:rPr>
        <w:t>any</w:t>
      </w:r>
      <w:proofErr w:type="gramEnd"/>
      <w:r w:rsidRPr="00BF53F5">
        <w:rPr>
          <w:rFonts w:ascii="Arial" w:hAnsi="Arial" w:cs="Arial"/>
          <w:sz w:val="22"/>
          <w:szCs w:val="22"/>
        </w:rPr>
        <w:t xml:space="preserve"> preliminary work (including, without limitation, site clearance, demolition and remediation); and</w:t>
      </w:r>
    </w:p>
    <w:p w:rsidR="00BA3E33" w:rsidRPr="00BF53F5" w:rsidRDefault="00BA3E33" w:rsidP="00BA3E33">
      <w:pPr>
        <w:pStyle w:val="Default"/>
        <w:tabs>
          <w:tab w:val="left" w:pos="1134"/>
        </w:tabs>
        <w:ind w:left="720"/>
        <w:rPr>
          <w:rFonts w:ascii="Arial" w:hAnsi="Arial" w:cs="Arial"/>
          <w:sz w:val="22"/>
          <w:szCs w:val="22"/>
        </w:rPr>
      </w:pPr>
      <w:r w:rsidRPr="00BF53F5">
        <w:rPr>
          <w:rFonts w:ascii="Arial" w:hAnsi="Arial" w:cs="Arial"/>
          <w:sz w:val="22"/>
          <w:szCs w:val="22"/>
        </w:rPr>
        <w:t>(d)</w:t>
      </w:r>
      <w:r w:rsidR="006A1D9E">
        <w:rPr>
          <w:rFonts w:ascii="Arial" w:hAnsi="Arial" w:cs="Arial"/>
          <w:sz w:val="22"/>
          <w:szCs w:val="22"/>
        </w:rPr>
        <w:tab/>
      </w:r>
      <w:proofErr w:type="gramStart"/>
      <w:r w:rsidR="006A1D9E">
        <w:rPr>
          <w:rFonts w:ascii="Arial" w:hAnsi="Arial" w:cs="Arial"/>
          <w:sz w:val="22"/>
          <w:szCs w:val="22"/>
        </w:rPr>
        <w:t>any</w:t>
      </w:r>
      <w:proofErr w:type="gramEnd"/>
      <w:r w:rsidR="006A1D9E">
        <w:rPr>
          <w:rFonts w:ascii="Arial" w:hAnsi="Arial" w:cs="Arial"/>
          <w:sz w:val="22"/>
          <w:szCs w:val="22"/>
        </w:rPr>
        <w:t xml:space="preserve"> professional services; and</w:t>
      </w:r>
    </w:p>
    <w:p w:rsidR="00BA3E33" w:rsidRPr="00BF53F5" w:rsidRDefault="00BA3E33" w:rsidP="00BA3E33">
      <w:pPr>
        <w:pStyle w:val="Default"/>
        <w:tabs>
          <w:tab w:val="left" w:pos="1134"/>
        </w:tabs>
        <w:ind w:left="720"/>
        <w:rPr>
          <w:rFonts w:ascii="Arial" w:hAnsi="Arial" w:cs="Arial"/>
          <w:sz w:val="22"/>
          <w:szCs w:val="22"/>
        </w:rPr>
      </w:pPr>
      <w:r w:rsidRPr="00BF53F5">
        <w:rPr>
          <w:rFonts w:ascii="Arial" w:hAnsi="Arial" w:cs="Arial"/>
          <w:sz w:val="22"/>
          <w:szCs w:val="22"/>
        </w:rPr>
        <w:t>(e)</w:t>
      </w:r>
      <w:r w:rsidRPr="00BF53F5">
        <w:rPr>
          <w:rFonts w:ascii="Arial" w:hAnsi="Arial" w:cs="Arial"/>
          <w:sz w:val="22"/>
          <w:szCs w:val="22"/>
        </w:rPr>
        <w:tab/>
      </w:r>
      <w:proofErr w:type="gramStart"/>
      <w:r w:rsidRPr="00BF53F5">
        <w:rPr>
          <w:rFonts w:ascii="Arial" w:hAnsi="Arial" w:cs="Arial"/>
          <w:sz w:val="22"/>
          <w:szCs w:val="22"/>
        </w:rPr>
        <w:t>the</w:t>
      </w:r>
      <w:proofErr w:type="gramEnd"/>
      <w:r w:rsidRPr="00BF53F5">
        <w:rPr>
          <w:rFonts w:ascii="Arial" w:hAnsi="Arial" w:cs="Arial"/>
          <w:sz w:val="22"/>
          <w:szCs w:val="22"/>
        </w:rPr>
        <w:t xml:space="preserve"> provision of, or any modifi</w:t>
      </w:r>
      <w:r w:rsidR="006A1D9E">
        <w:rPr>
          <w:rFonts w:ascii="Arial" w:hAnsi="Arial" w:cs="Arial"/>
          <w:sz w:val="22"/>
          <w:szCs w:val="22"/>
        </w:rPr>
        <w:t>cations to, infrastructure; and</w:t>
      </w:r>
    </w:p>
    <w:p w:rsidR="00BA3E33" w:rsidRPr="00BF53F5" w:rsidRDefault="00BA3E33" w:rsidP="00BA3E33">
      <w:pPr>
        <w:pStyle w:val="Default"/>
        <w:tabs>
          <w:tab w:val="left" w:pos="1134"/>
        </w:tabs>
        <w:ind w:left="1134" w:hanging="414"/>
        <w:rPr>
          <w:rFonts w:ascii="Arial" w:hAnsi="Arial" w:cs="Arial"/>
          <w:sz w:val="22"/>
          <w:szCs w:val="22"/>
        </w:rPr>
      </w:pPr>
      <w:r w:rsidRPr="00BF53F5">
        <w:rPr>
          <w:rFonts w:ascii="Arial" w:hAnsi="Arial" w:cs="Arial"/>
          <w:sz w:val="22"/>
          <w:szCs w:val="22"/>
        </w:rPr>
        <w:t>(f)</w:t>
      </w:r>
      <w:r w:rsidRPr="00BF53F5">
        <w:rPr>
          <w:rFonts w:ascii="Arial" w:hAnsi="Arial" w:cs="Arial"/>
          <w:sz w:val="22"/>
          <w:szCs w:val="22"/>
        </w:rPr>
        <w:tab/>
      </w:r>
      <w:proofErr w:type="gramStart"/>
      <w:r w:rsidRPr="00BF53F5">
        <w:rPr>
          <w:rFonts w:ascii="Arial" w:hAnsi="Arial" w:cs="Arial"/>
          <w:sz w:val="22"/>
          <w:szCs w:val="22"/>
        </w:rPr>
        <w:t>any</w:t>
      </w:r>
      <w:proofErr w:type="gramEnd"/>
      <w:r w:rsidRPr="00BF53F5">
        <w:rPr>
          <w:rFonts w:ascii="Arial" w:hAnsi="Arial" w:cs="Arial"/>
          <w:sz w:val="22"/>
          <w:szCs w:val="22"/>
        </w:rPr>
        <w:t xml:space="preserve"> construction work, fit out, signage, utilities, communications, security services, landscaping and contingencies, but</w:t>
      </w:r>
    </w:p>
    <w:p w:rsidR="00BA3E33" w:rsidRPr="00BF53F5" w:rsidRDefault="00BA3E33" w:rsidP="00BA3E33">
      <w:pPr>
        <w:pStyle w:val="Default"/>
        <w:tabs>
          <w:tab w:val="left" w:pos="1134"/>
        </w:tabs>
        <w:ind w:left="1134"/>
        <w:rPr>
          <w:rFonts w:ascii="Arial" w:hAnsi="Arial" w:cs="Arial"/>
          <w:color w:val="auto"/>
          <w:sz w:val="22"/>
          <w:szCs w:val="22"/>
          <w:lang w:eastAsia="en-US"/>
        </w:rPr>
      </w:pPr>
      <w:proofErr w:type="gramStart"/>
      <w:r w:rsidRPr="00BF53F5">
        <w:rPr>
          <w:rFonts w:ascii="Arial" w:hAnsi="Arial" w:cs="Arial"/>
          <w:sz w:val="22"/>
          <w:szCs w:val="22"/>
        </w:rPr>
        <w:t>does</w:t>
      </w:r>
      <w:proofErr w:type="gramEnd"/>
      <w:r w:rsidRPr="00BF53F5">
        <w:rPr>
          <w:rFonts w:ascii="Arial" w:hAnsi="Arial" w:cs="Arial"/>
          <w:sz w:val="22"/>
          <w:szCs w:val="22"/>
        </w:rPr>
        <w:t xml:space="preserve"> not include an amount to be applied for the purchase of land or any interest in land.</w:t>
      </w:r>
    </w:p>
    <w:p w:rsidR="00BA3E33" w:rsidRDefault="00BA3E33" w:rsidP="00BA3E33">
      <w:pPr>
        <w:rPr>
          <w:rFonts w:ascii="Calibri" w:hAnsi="Calibri"/>
        </w:rPr>
      </w:pPr>
      <w:bookmarkStart w:id="1" w:name="_MailEndCompose"/>
      <w:bookmarkEnd w:id="1"/>
    </w:p>
    <w:p w:rsidR="00E85F88" w:rsidRDefault="00E85F88" w:rsidP="00CE77E3">
      <w:r>
        <w:t xml:space="preserve">Legislation requires the State Coordinator-General to </w:t>
      </w:r>
      <w:proofErr w:type="gramStart"/>
      <w:r>
        <w:t>advise</w:t>
      </w:r>
      <w:proofErr w:type="gramEnd"/>
      <w:r>
        <w:t xml:space="preserve">, by notice in writing, the proponent and relevant council or regional </w:t>
      </w:r>
      <w:r w:rsidR="00D86F39">
        <w:t xml:space="preserve">assessment </w:t>
      </w:r>
      <w:r>
        <w:t>panel of any det</w:t>
      </w:r>
      <w:r w:rsidR="00BC7459">
        <w:t>ermination to call-in a proposal.</w:t>
      </w:r>
    </w:p>
    <w:p w:rsidR="00BA3E33" w:rsidRDefault="00BA3E33">
      <w:r>
        <w:br w:type="page"/>
      </w:r>
    </w:p>
    <w:p w:rsidR="00E85F88" w:rsidRDefault="00E85F88" w:rsidP="00CE77E3">
      <w:r>
        <w:rPr>
          <w:b/>
        </w:rPr>
        <w:lastRenderedPageBreak/>
        <w:t>Assessment Process</w:t>
      </w:r>
    </w:p>
    <w:p w:rsidR="00E85F88" w:rsidRDefault="00E85F88" w:rsidP="00CE77E3"/>
    <w:p w:rsidR="00D3603C" w:rsidRDefault="00D3603C" w:rsidP="00CE77E3">
      <w:r>
        <w:t>Proposals are assess</w:t>
      </w:r>
      <w:r w:rsidR="00236C2B">
        <w:t>ed</w:t>
      </w:r>
      <w:r w:rsidR="00BF2A5D">
        <w:t xml:space="preserve"> against the threshold tests and with regard to subclause (1) of Schedule 10.</w:t>
      </w:r>
      <w:r w:rsidR="00557A81">
        <w:t xml:space="preserve"> </w:t>
      </w:r>
      <w:r w:rsidR="00590C5A">
        <w:t xml:space="preserve">  </w:t>
      </w:r>
      <w:r w:rsidR="00557A81">
        <w:t>The capital works threshold test and the requirement to have a commercial, industrial, retail or other commercial component in the proposed development must be met to satisfy subclause (1).</w:t>
      </w:r>
    </w:p>
    <w:p w:rsidR="00BF2A5D" w:rsidRDefault="00BF2A5D" w:rsidP="00CE77E3"/>
    <w:p w:rsidR="00590C5A" w:rsidRDefault="00BF2A5D" w:rsidP="00CE77E3">
      <w:r>
        <w:t xml:space="preserve">Proponents with a portfolio of applications across separate Council areas and which satisfy the threshold tests </w:t>
      </w:r>
      <w:r w:rsidR="00557A81">
        <w:t xml:space="preserve">may </w:t>
      </w:r>
      <w:r>
        <w:t>be offered a single assessment authority as this approach provides consistency in process and interpretation of the relevant Development Plans.</w:t>
      </w:r>
    </w:p>
    <w:p w:rsidR="00590C5A" w:rsidRDefault="00590C5A" w:rsidP="00CE77E3"/>
    <w:p w:rsidR="00BF2A5D" w:rsidRDefault="00557A81" w:rsidP="00CE77E3">
      <w:r>
        <w:t>It is important to stress, however, that each site under consideration must meet the two threshold tests in subclause (1).</w:t>
      </w:r>
    </w:p>
    <w:p w:rsidR="00BF2A5D" w:rsidRDefault="00BF2A5D" w:rsidP="00CE77E3"/>
    <w:p w:rsidR="00BF2A5D" w:rsidRDefault="00BF2A5D" w:rsidP="00CE77E3">
      <w:r>
        <w:t>As part of the assessment process, consideration by the State Coordinator-General is given to the value of the project, creation of jobs as a result of direct employment outcomes in construction and flow on jobs from expenditure within the broader economy, and further employment created through the ongoing maintenance of the public realm, buildings and servicing of the proposed development.</w:t>
      </w:r>
    </w:p>
    <w:p w:rsidR="00D3603C" w:rsidRDefault="00D3603C" w:rsidP="00CE77E3"/>
    <w:p w:rsidR="00BC7459" w:rsidRDefault="00BC7459" w:rsidP="00CE77E3">
      <w:r>
        <w:t xml:space="preserve">The result of the State Coordinator-General’s determination (or call-in) is to appoint the </w:t>
      </w:r>
      <w:r w:rsidR="001C77DF">
        <w:t>S</w:t>
      </w:r>
      <w:r w:rsidR="00D87C95">
        <w:t>CAP</w:t>
      </w:r>
      <w:r>
        <w:t xml:space="preserve"> as the most appropriate assessment authority.  In agreeing to assign </w:t>
      </w:r>
      <w:r w:rsidR="001C77DF">
        <w:t>the S</w:t>
      </w:r>
      <w:r w:rsidR="00D87C95">
        <w:t>CAP</w:t>
      </w:r>
      <w:r>
        <w:t xml:space="preserve"> as the relevant authority, proponents are asked to work collaboratively with the Development Division of the Department of Planning, Transport and Infrastructure and the relevant council or regional </w:t>
      </w:r>
      <w:r w:rsidR="00D86F39">
        <w:t xml:space="preserve">assessment </w:t>
      </w:r>
      <w:r>
        <w:t xml:space="preserve">panel in the finalisation of an application to </w:t>
      </w:r>
      <w:r w:rsidR="001C77DF">
        <w:t>the S</w:t>
      </w:r>
      <w:r w:rsidR="00D87C95">
        <w:t>CAP</w:t>
      </w:r>
      <w:r>
        <w:t>.</w:t>
      </w:r>
    </w:p>
    <w:p w:rsidR="00236C2B" w:rsidRDefault="00236C2B"/>
    <w:p w:rsidR="002972CB" w:rsidRDefault="002972CB" w:rsidP="00CE77E3">
      <w:r>
        <w:t>The time taken to determine an application is dependent upon a range of factors including whether State agencies need to be consulted, the complexity of the application and the nature of any issues raised and potential additional information required.</w:t>
      </w:r>
    </w:p>
    <w:p w:rsidR="00BC7459" w:rsidRDefault="00BC7459" w:rsidP="00CE77E3"/>
    <w:p w:rsidR="00BC7459" w:rsidRDefault="00BC7459" w:rsidP="00CE77E3">
      <w:r>
        <w:t xml:space="preserve">It should be noted that making this determination does not constitute a form of advocacy nor does it imply a favourable assessment outcome or otherwise for the proposal.  Following the assessment process, </w:t>
      </w:r>
      <w:r w:rsidR="00557A81">
        <w:t xml:space="preserve">planning consent approval </w:t>
      </w:r>
      <w:r>
        <w:t xml:space="preserve">will be made by </w:t>
      </w:r>
      <w:r w:rsidR="001C77DF">
        <w:t>the S</w:t>
      </w:r>
      <w:r w:rsidR="00D87C95">
        <w:t>CAP</w:t>
      </w:r>
      <w:r>
        <w:t>.</w:t>
      </w:r>
    </w:p>
    <w:p w:rsidR="00BC7459" w:rsidRDefault="00BC7459" w:rsidP="00CE77E3"/>
    <w:p w:rsidR="00590C5A" w:rsidRDefault="00590C5A" w:rsidP="00CE77E3"/>
    <w:p w:rsidR="00E85F88" w:rsidRDefault="009A78E7" w:rsidP="00CE77E3">
      <w:r>
        <w:rPr>
          <w:b/>
        </w:rPr>
        <w:t>How do I apply to the State Coordinator-General?</w:t>
      </w:r>
    </w:p>
    <w:p w:rsidR="009A78E7" w:rsidRDefault="009A78E7" w:rsidP="00CE77E3"/>
    <w:p w:rsidR="00590C5A" w:rsidRDefault="009A78E7" w:rsidP="00CE77E3">
      <w:r>
        <w:t>When the prescribed requirements of Schedule 10 of the Development Regulations have been met, proponents can formally write to the State Coordinator-General to request consideration of a proposal.</w:t>
      </w:r>
    </w:p>
    <w:p w:rsidR="00590C5A" w:rsidRDefault="00590C5A">
      <w:r>
        <w:br w:type="page"/>
      </w:r>
    </w:p>
    <w:p w:rsidR="009A78E7" w:rsidRDefault="009A78E7" w:rsidP="00CE77E3">
      <w:r>
        <w:lastRenderedPageBreak/>
        <w:t>The following material should be provided as a minimum to assist the State Coordinator-General:</w:t>
      </w:r>
    </w:p>
    <w:p w:rsidR="009A78E7" w:rsidRDefault="009A78E7" w:rsidP="00CE77E3"/>
    <w:tbl>
      <w:tblPr>
        <w:tblStyle w:val="TableGrid"/>
        <w:tblW w:w="0" w:type="auto"/>
        <w:tblInd w:w="250" w:type="dxa"/>
        <w:tblCellMar>
          <w:top w:w="113" w:type="dxa"/>
          <w:bottom w:w="113" w:type="dxa"/>
        </w:tblCellMar>
        <w:tblLook w:val="04A0" w:firstRow="1" w:lastRow="0" w:firstColumn="1" w:lastColumn="0" w:noHBand="0" w:noVBand="1"/>
      </w:tblPr>
      <w:tblGrid>
        <w:gridCol w:w="3119"/>
        <w:gridCol w:w="5670"/>
      </w:tblGrid>
      <w:tr w:rsidR="009A78E7" w:rsidTr="00CB1ECD">
        <w:tc>
          <w:tcPr>
            <w:tcW w:w="3119" w:type="dxa"/>
            <w:tcBorders>
              <w:bottom w:val="double" w:sz="4" w:space="0" w:color="auto"/>
            </w:tcBorders>
          </w:tcPr>
          <w:p w:rsidR="009A78E7" w:rsidRPr="009A78E7" w:rsidRDefault="009A78E7" w:rsidP="009A78E7">
            <w:pPr>
              <w:jc w:val="center"/>
              <w:rPr>
                <w:b/>
              </w:rPr>
            </w:pPr>
            <w:r>
              <w:rPr>
                <w:b/>
              </w:rPr>
              <w:t>Information</w:t>
            </w:r>
          </w:p>
        </w:tc>
        <w:tc>
          <w:tcPr>
            <w:tcW w:w="5670" w:type="dxa"/>
            <w:tcBorders>
              <w:bottom w:val="double" w:sz="4" w:space="0" w:color="auto"/>
            </w:tcBorders>
          </w:tcPr>
          <w:p w:rsidR="009A78E7" w:rsidRPr="009A78E7" w:rsidRDefault="009A78E7" w:rsidP="009A78E7">
            <w:pPr>
              <w:jc w:val="center"/>
              <w:rPr>
                <w:b/>
              </w:rPr>
            </w:pPr>
            <w:r>
              <w:rPr>
                <w:b/>
              </w:rPr>
              <w:t>Description</w:t>
            </w:r>
          </w:p>
        </w:tc>
      </w:tr>
      <w:tr w:rsidR="009B3151" w:rsidTr="00CB1ECD">
        <w:tc>
          <w:tcPr>
            <w:tcW w:w="3119" w:type="dxa"/>
            <w:tcBorders>
              <w:top w:val="double" w:sz="4" w:space="0" w:color="auto"/>
            </w:tcBorders>
          </w:tcPr>
          <w:p w:rsidR="009B3151" w:rsidRPr="009B3151" w:rsidRDefault="009B3151" w:rsidP="009B3151">
            <w:pPr>
              <w:rPr>
                <w:b/>
              </w:rPr>
            </w:pPr>
            <w:r>
              <w:rPr>
                <w:b/>
              </w:rPr>
              <w:t>Proposal Description</w:t>
            </w:r>
          </w:p>
        </w:tc>
        <w:tc>
          <w:tcPr>
            <w:tcW w:w="5670" w:type="dxa"/>
            <w:tcBorders>
              <w:top w:val="double" w:sz="4" w:space="0" w:color="auto"/>
            </w:tcBorders>
          </w:tcPr>
          <w:p w:rsidR="009B3151" w:rsidRDefault="00CB1ECD" w:rsidP="009B3151">
            <w:pPr>
              <w:pStyle w:val="ListParagraph"/>
              <w:numPr>
                <w:ilvl w:val="0"/>
                <w:numId w:val="1"/>
              </w:numPr>
            </w:pPr>
            <w:r>
              <w:t>Letter to the State Coordinator-General d</w:t>
            </w:r>
            <w:r w:rsidR="009B3151">
              <w:t>etail</w:t>
            </w:r>
            <w:r>
              <w:t>ing</w:t>
            </w:r>
            <w:r w:rsidR="009B3151">
              <w:t xml:space="preserve"> descr</w:t>
            </w:r>
            <w:r w:rsidR="00236C2B">
              <w:t>i</w:t>
            </w:r>
            <w:r w:rsidR="009B3151">
              <w:t>ption of the proposal includ</w:t>
            </w:r>
            <w:r w:rsidR="00236C2B">
              <w:t>ing</w:t>
            </w:r>
            <w:r w:rsidR="009B3151">
              <w:t xml:space="preserve"> proposed land use/s, relevant zoning, indicative building form etc.</w:t>
            </w:r>
          </w:p>
          <w:p w:rsidR="009B3151" w:rsidRDefault="009B3151" w:rsidP="009B3151">
            <w:pPr>
              <w:pStyle w:val="ListParagraph"/>
              <w:numPr>
                <w:ilvl w:val="0"/>
                <w:numId w:val="1"/>
              </w:numPr>
            </w:pPr>
            <w:r>
              <w:t>Demonstration of land ownership or control.</w:t>
            </w:r>
          </w:p>
        </w:tc>
      </w:tr>
      <w:tr w:rsidR="00236C2B" w:rsidTr="00CB1ECD">
        <w:tc>
          <w:tcPr>
            <w:tcW w:w="3119" w:type="dxa"/>
          </w:tcPr>
          <w:p w:rsidR="00236C2B" w:rsidRPr="002E1FA6" w:rsidRDefault="00236C2B" w:rsidP="006749C1">
            <w:pPr>
              <w:rPr>
                <w:b/>
              </w:rPr>
            </w:pPr>
            <w:r>
              <w:rPr>
                <w:b/>
              </w:rPr>
              <w:t>Economic Value</w:t>
            </w:r>
          </w:p>
        </w:tc>
        <w:tc>
          <w:tcPr>
            <w:tcW w:w="5670" w:type="dxa"/>
          </w:tcPr>
          <w:p w:rsidR="00236C2B" w:rsidRDefault="00236C2B" w:rsidP="006749C1">
            <w:pPr>
              <w:pStyle w:val="ListParagraph"/>
              <w:numPr>
                <w:ilvl w:val="0"/>
                <w:numId w:val="2"/>
              </w:numPr>
            </w:pPr>
            <w:r>
              <w:t>Summary of the ongoing employment data specific to the site under consideration.</w:t>
            </w:r>
          </w:p>
        </w:tc>
      </w:tr>
      <w:tr w:rsidR="009A78E7" w:rsidTr="00CB1ECD">
        <w:tc>
          <w:tcPr>
            <w:tcW w:w="3119" w:type="dxa"/>
            <w:tcBorders>
              <w:top w:val="single" w:sz="4" w:space="0" w:color="auto"/>
            </w:tcBorders>
          </w:tcPr>
          <w:p w:rsidR="009A78E7" w:rsidRPr="002E1FA6" w:rsidRDefault="002E1FA6" w:rsidP="009B3151">
            <w:pPr>
              <w:rPr>
                <w:b/>
              </w:rPr>
            </w:pPr>
            <w:r>
              <w:rPr>
                <w:b/>
              </w:rPr>
              <w:t>Development Costs</w:t>
            </w:r>
          </w:p>
        </w:tc>
        <w:tc>
          <w:tcPr>
            <w:tcW w:w="5670" w:type="dxa"/>
            <w:tcBorders>
              <w:top w:val="single" w:sz="4" w:space="0" w:color="auto"/>
            </w:tcBorders>
          </w:tcPr>
          <w:p w:rsidR="009A78E7" w:rsidRDefault="002E1FA6" w:rsidP="009B3151">
            <w:pPr>
              <w:pStyle w:val="ListParagraph"/>
              <w:numPr>
                <w:ilvl w:val="0"/>
                <w:numId w:val="1"/>
              </w:numPr>
            </w:pPr>
            <w:r>
              <w:t>Estimate of total amount to be applied to any work when all stages of the development are completed</w:t>
            </w:r>
            <w:r w:rsidR="0095512C">
              <w:t>.</w:t>
            </w:r>
          </w:p>
          <w:p w:rsidR="00590C5A" w:rsidRPr="00CB2A42" w:rsidRDefault="00590C5A" w:rsidP="00590C5A">
            <w:pPr>
              <w:pStyle w:val="ListParagraph"/>
              <w:numPr>
                <w:ilvl w:val="0"/>
                <w:numId w:val="1"/>
              </w:numPr>
              <w:ind w:left="357" w:hanging="357"/>
              <w:contextualSpacing w:val="0"/>
              <w:rPr>
                <w:szCs w:val="20"/>
              </w:rPr>
            </w:pPr>
            <w:r>
              <w:t>A report from a quantity survey</w:t>
            </w:r>
            <w:r w:rsidR="00682EB8">
              <w:t>or</w:t>
            </w:r>
            <w:r>
              <w:t xml:space="preserve"> on the total amount to be applied to any work includes any amount to be applied to:</w:t>
            </w:r>
          </w:p>
          <w:p w:rsidR="00590C5A" w:rsidRPr="00364B40" w:rsidRDefault="00590C5A" w:rsidP="00590C5A">
            <w:pPr>
              <w:pStyle w:val="Default"/>
              <w:tabs>
                <w:tab w:val="left" w:pos="743"/>
              </w:tabs>
              <w:ind w:left="743" w:hanging="425"/>
              <w:rPr>
                <w:rFonts w:ascii="Arial" w:hAnsi="Arial" w:cs="Arial"/>
                <w:sz w:val="22"/>
                <w:szCs w:val="22"/>
              </w:rPr>
            </w:pPr>
            <w:r w:rsidRPr="00364B40">
              <w:rPr>
                <w:rFonts w:ascii="Arial" w:hAnsi="Arial" w:cs="Arial"/>
                <w:sz w:val="22"/>
                <w:szCs w:val="22"/>
              </w:rPr>
              <w:t>(a)</w:t>
            </w:r>
            <w:r w:rsidRPr="00364B40">
              <w:rPr>
                <w:rFonts w:ascii="Arial" w:hAnsi="Arial" w:cs="Arial"/>
                <w:sz w:val="22"/>
                <w:szCs w:val="22"/>
              </w:rPr>
              <w:tab/>
              <w:t>any building or structure or any improvements or other physical changes to a building or structure; and</w:t>
            </w:r>
          </w:p>
          <w:p w:rsidR="00590C5A" w:rsidRPr="00364B40" w:rsidRDefault="00590C5A" w:rsidP="00590C5A">
            <w:pPr>
              <w:pStyle w:val="Default"/>
              <w:tabs>
                <w:tab w:val="left" w:pos="743"/>
              </w:tabs>
              <w:ind w:left="743" w:hanging="425"/>
              <w:rPr>
                <w:rFonts w:ascii="Arial" w:hAnsi="Arial" w:cs="Arial"/>
                <w:sz w:val="22"/>
                <w:szCs w:val="22"/>
              </w:rPr>
            </w:pPr>
            <w:r w:rsidRPr="00364B40">
              <w:rPr>
                <w:rFonts w:ascii="Arial" w:hAnsi="Arial" w:cs="Arial"/>
                <w:sz w:val="22"/>
                <w:szCs w:val="22"/>
              </w:rPr>
              <w:t>(b)</w:t>
            </w:r>
            <w:r w:rsidRPr="00364B40">
              <w:rPr>
                <w:rFonts w:ascii="Arial" w:hAnsi="Arial" w:cs="Arial"/>
                <w:sz w:val="22"/>
                <w:szCs w:val="22"/>
              </w:rPr>
              <w:tab/>
              <w:t>any improvements or physical changes to land; and</w:t>
            </w:r>
          </w:p>
          <w:p w:rsidR="00590C5A" w:rsidRPr="00364B40" w:rsidRDefault="00590C5A" w:rsidP="00590C5A">
            <w:pPr>
              <w:pStyle w:val="Default"/>
              <w:tabs>
                <w:tab w:val="left" w:pos="743"/>
              </w:tabs>
              <w:ind w:left="743" w:hanging="425"/>
              <w:rPr>
                <w:rFonts w:ascii="Arial" w:hAnsi="Arial" w:cs="Arial"/>
                <w:sz w:val="22"/>
                <w:szCs w:val="22"/>
              </w:rPr>
            </w:pPr>
            <w:r w:rsidRPr="00364B40">
              <w:rPr>
                <w:rFonts w:ascii="Arial" w:hAnsi="Arial" w:cs="Arial"/>
                <w:sz w:val="22"/>
                <w:szCs w:val="22"/>
              </w:rPr>
              <w:t>(c)</w:t>
            </w:r>
            <w:r w:rsidRPr="00364B40">
              <w:rPr>
                <w:rFonts w:ascii="Arial" w:hAnsi="Arial" w:cs="Arial"/>
                <w:sz w:val="22"/>
                <w:szCs w:val="22"/>
              </w:rPr>
              <w:tab/>
              <w:t>any preliminary work (including, without limitation, site clearance, demolition and remediation); and</w:t>
            </w:r>
          </w:p>
          <w:p w:rsidR="00590C5A" w:rsidRPr="00364B40" w:rsidRDefault="00590C5A" w:rsidP="00590C5A">
            <w:pPr>
              <w:pStyle w:val="Default"/>
              <w:tabs>
                <w:tab w:val="left" w:pos="743"/>
              </w:tabs>
              <w:ind w:left="743" w:hanging="425"/>
              <w:rPr>
                <w:rFonts w:ascii="Arial" w:hAnsi="Arial" w:cs="Arial"/>
                <w:sz w:val="22"/>
                <w:szCs w:val="22"/>
              </w:rPr>
            </w:pPr>
            <w:r w:rsidRPr="00364B40">
              <w:rPr>
                <w:rFonts w:ascii="Arial" w:hAnsi="Arial" w:cs="Arial"/>
                <w:sz w:val="22"/>
                <w:szCs w:val="22"/>
              </w:rPr>
              <w:t>(d)</w:t>
            </w:r>
            <w:r w:rsidRPr="00364B40">
              <w:rPr>
                <w:rFonts w:ascii="Arial" w:hAnsi="Arial" w:cs="Arial"/>
                <w:sz w:val="22"/>
                <w:szCs w:val="22"/>
              </w:rPr>
              <w:tab/>
              <w:t>any professional services; and</w:t>
            </w:r>
          </w:p>
          <w:p w:rsidR="00590C5A" w:rsidRPr="00364B40" w:rsidRDefault="00590C5A" w:rsidP="00590C5A">
            <w:pPr>
              <w:pStyle w:val="Default"/>
              <w:tabs>
                <w:tab w:val="left" w:pos="743"/>
              </w:tabs>
              <w:ind w:left="743" w:hanging="425"/>
              <w:rPr>
                <w:rFonts w:ascii="Arial" w:hAnsi="Arial" w:cs="Arial"/>
                <w:sz w:val="22"/>
                <w:szCs w:val="22"/>
              </w:rPr>
            </w:pPr>
            <w:r w:rsidRPr="00364B40">
              <w:rPr>
                <w:rFonts w:ascii="Arial" w:hAnsi="Arial" w:cs="Arial"/>
                <w:sz w:val="22"/>
                <w:szCs w:val="22"/>
              </w:rPr>
              <w:t>(e)</w:t>
            </w:r>
            <w:r w:rsidRPr="00364B40">
              <w:rPr>
                <w:rFonts w:ascii="Arial" w:hAnsi="Arial" w:cs="Arial"/>
                <w:sz w:val="22"/>
                <w:szCs w:val="22"/>
              </w:rPr>
              <w:tab/>
              <w:t>the provision of, or any modifications to, infrastructure; and</w:t>
            </w:r>
          </w:p>
          <w:p w:rsidR="00590C5A" w:rsidRPr="00364B40" w:rsidRDefault="00590C5A" w:rsidP="00590C5A">
            <w:pPr>
              <w:pStyle w:val="Default"/>
              <w:tabs>
                <w:tab w:val="left" w:pos="743"/>
              </w:tabs>
              <w:ind w:left="743" w:hanging="425"/>
              <w:rPr>
                <w:rFonts w:ascii="Arial" w:hAnsi="Arial" w:cs="Arial"/>
                <w:sz w:val="22"/>
                <w:szCs w:val="22"/>
              </w:rPr>
            </w:pPr>
            <w:r w:rsidRPr="00364B40">
              <w:rPr>
                <w:rFonts w:ascii="Arial" w:hAnsi="Arial" w:cs="Arial"/>
                <w:sz w:val="22"/>
                <w:szCs w:val="22"/>
              </w:rPr>
              <w:t>(f)</w:t>
            </w:r>
            <w:r w:rsidRPr="00364B40">
              <w:rPr>
                <w:rFonts w:ascii="Arial" w:hAnsi="Arial" w:cs="Arial"/>
                <w:sz w:val="22"/>
                <w:szCs w:val="22"/>
              </w:rPr>
              <w:tab/>
              <w:t>any construction work, fit out, signage, utilities, communications, security services, landscaping and contingencies, but</w:t>
            </w:r>
          </w:p>
          <w:p w:rsidR="00590C5A" w:rsidRDefault="00590C5A" w:rsidP="00590C5A">
            <w:pPr>
              <w:pStyle w:val="ListParagraph"/>
              <w:ind w:left="360"/>
            </w:pPr>
            <w:r w:rsidRPr="00CB2A42">
              <w:rPr>
                <w:rFonts w:cs="Arial"/>
                <w:szCs w:val="20"/>
              </w:rPr>
              <w:t>does not include an amount to be applied for the purchase of land or any interest in land</w:t>
            </w:r>
          </w:p>
        </w:tc>
      </w:tr>
      <w:tr w:rsidR="009B3151" w:rsidTr="00CB1ECD">
        <w:tc>
          <w:tcPr>
            <w:tcW w:w="3119" w:type="dxa"/>
          </w:tcPr>
          <w:p w:rsidR="009B3151" w:rsidRDefault="009B3151" w:rsidP="009B3151">
            <w:pPr>
              <w:rPr>
                <w:b/>
              </w:rPr>
            </w:pPr>
            <w:r>
              <w:rPr>
                <w:b/>
              </w:rPr>
              <w:t>Plans</w:t>
            </w:r>
          </w:p>
        </w:tc>
        <w:tc>
          <w:tcPr>
            <w:tcW w:w="5670" w:type="dxa"/>
          </w:tcPr>
          <w:p w:rsidR="00D86F39" w:rsidRDefault="00D86F39" w:rsidP="009B3151">
            <w:pPr>
              <w:pStyle w:val="ListParagraph"/>
              <w:numPr>
                <w:ilvl w:val="0"/>
                <w:numId w:val="2"/>
              </w:numPr>
            </w:pPr>
            <w:r>
              <w:t>Site plan, architectural plans and elevations.</w:t>
            </w:r>
          </w:p>
          <w:p w:rsidR="009B3151" w:rsidRPr="00D86F39" w:rsidRDefault="00D86F39" w:rsidP="009B3151">
            <w:pPr>
              <w:pStyle w:val="ListParagraph"/>
              <w:numPr>
                <w:ilvl w:val="0"/>
                <w:numId w:val="2"/>
              </w:numPr>
            </w:pPr>
            <w:r>
              <w:t>Details on each proposed land use within the site (</w:t>
            </w:r>
            <w:proofErr w:type="spellStart"/>
            <w:r w:rsidR="009B3151" w:rsidRPr="00D86F39">
              <w:t>ie</w:t>
            </w:r>
            <w:proofErr w:type="spellEnd"/>
            <w:r w:rsidR="009B3151" w:rsidRPr="00D86F39">
              <w:t xml:space="preserve"> retail, </w:t>
            </w:r>
            <w:r w:rsidR="004F197D">
              <w:t>commercial, industrial</w:t>
            </w:r>
            <w:r w:rsidR="009B3151" w:rsidRPr="00D86F39">
              <w:t>).</w:t>
            </w:r>
          </w:p>
          <w:p w:rsidR="009B3151" w:rsidRPr="00D86F39" w:rsidRDefault="009B3151" w:rsidP="009B3151">
            <w:pPr>
              <w:pStyle w:val="ListParagraph"/>
              <w:numPr>
                <w:ilvl w:val="0"/>
                <w:numId w:val="2"/>
              </w:numPr>
            </w:pPr>
            <w:r w:rsidRPr="00D86F39">
              <w:t>Traffic and parking – details of any off-street parking proposed and t</w:t>
            </w:r>
            <w:r w:rsidR="00D86F39">
              <w:t>raffic access arrangements.</w:t>
            </w:r>
          </w:p>
          <w:p w:rsidR="009B3151" w:rsidRDefault="009B3151" w:rsidP="009B3151">
            <w:pPr>
              <w:pStyle w:val="ListParagraph"/>
              <w:numPr>
                <w:ilvl w:val="0"/>
                <w:numId w:val="2"/>
              </w:numPr>
            </w:pPr>
            <w:r w:rsidRPr="00D86F39">
              <w:t>Location of external signs or advertising displays (if relevant) and if signs are to be illuminated or contain a moving display need to be identified</w:t>
            </w:r>
            <w:r w:rsidR="00D86F39">
              <w:t>.</w:t>
            </w:r>
          </w:p>
        </w:tc>
      </w:tr>
    </w:tbl>
    <w:p w:rsidR="00590C5A" w:rsidRDefault="00590C5A"/>
    <w:p w:rsidR="00590C5A" w:rsidRDefault="00590C5A">
      <w:r>
        <w:br w:type="page"/>
      </w:r>
    </w:p>
    <w:p w:rsidR="00E85F88" w:rsidRDefault="009B3151" w:rsidP="00CE77E3">
      <w:r>
        <w:rPr>
          <w:b/>
        </w:rPr>
        <w:lastRenderedPageBreak/>
        <w:t>For general information regarding DPTI Case Management Services</w:t>
      </w:r>
    </w:p>
    <w:p w:rsidR="009B3151" w:rsidRDefault="009B3151" w:rsidP="00CE77E3"/>
    <w:p w:rsidR="009B3151" w:rsidRDefault="009B3151" w:rsidP="00CE77E3">
      <w:r>
        <w:t>Through the Development Division of DPTI, a case management service can be accessed to assist with streamlining the development assessment process.  This service is usually most effective when accessed in the early stages of concept design.</w:t>
      </w:r>
    </w:p>
    <w:p w:rsidR="009B3151" w:rsidRDefault="009B3151" w:rsidP="00CE77E3"/>
    <w:p w:rsidR="009B3151" w:rsidRDefault="009B3151" w:rsidP="00CE77E3">
      <w:r>
        <w:t>Please contact:</w:t>
      </w:r>
    </w:p>
    <w:p w:rsidR="009B3151" w:rsidRDefault="009B3151" w:rsidP="00CE77E3"/>
    <w:p w:rsidR="009B3151" w:rsidRDefault="009B3151" w:rsidP="009B3151">
      <w:pPr>
        <w:ind w:left="720"/>
      </w:pPr>
      <w:r>
        <w:t>Department of Planning, Transport and Infrastructure</w:t>
      </w:r>
    </w:p>
    <w:p w:rsidR="009B3151" w:rsidRDefault="009B3151" w:rsidP="009B3151">
      <w:pPr>
        <w:ind w:left="720"/>
      </w:pPr>
      <w:r>
        <w:t xml:space="preserve">Level 5, </w:t>
      </w:r>
      <w:r w:rsidR="00D3603C">
        <w:t>50 Flinders Street</w:t>
      </w:r>
    </w:p>
    <w:p w:rsidR="00D3603C" w:rsidRDefault="00D3603C" w:rsidP="009B3151">
      <w:pPr>
        <w:ind w:left="720"/>
      </w:pPr>
      <w:proofErr w:type="gramStart"/>
      <w:r>
        <w:t>ADELAIDE  SA</w:t>
      </w:r>
      <w:proofErr w:type="gramEnd"/>
      <w:r>
        <w:t xml:space="preserve">  5000</w:t>
      </w:r>
    </w:p>
    <w:p w:rsidR="00D3603C" w:rsidRDefault="00D3603C" w:rsidP="009B3151">
      <w:pPr>
        <w:ind w:left="720"/>
      </w:pPr>
    </w:p>
    <w:p w:rsidR="00D3603C" w:rsidRDefault="00D3603C" w:rsidP="009B3151">
      <w:pPr>
        <w:ind w:left="720"/>
      </w:pPr>
      <w:r>
        <w:t>Telephone:</w:t>
      </w:r>
      <w:r>
        <w:tab/>
        <w:t>(08) 8402 1786</w:t>
      </w:r>
    </w:p>
    <w:p w:rsidR="00D3603C" w:rsidRDefault="00D3603C" w:rsidP="009B3151">
      <w:pPr>
        <w:ind w:left="720"/>
      </w:pPr>
      <w:r>
        <w:t>Email:</w:t>
      </w:r>
      <w:r>
        <w:tab/>
      </w:r>
      <w:r>
        <w:tab/>
        <w:t>dpti.ocg@sa.gov.au</w:t>
      </w:r>
    </w:p>
    <w:p w:rsidR="009B3151" w:rsidRDefault="009B3151" w:rsidP="00CE77E3"/>
    <w:p w:rsidR="009B3151" w:rsidRDefault="00D3603C" w:rsidP="00CE77E3">
      <w:r>
        <w:rPr>
          <w:b/>
        </w:rPr>
        <w:t>Who to contact?</w:t>
      </w:r>
    </w:p>
    <w:p w:rsidR="00D3603C" w:rsidRDefault="00D3603C" w:rsidP="00CE77E3"/>
    <w:p w:rsidR="00D3603C" w:rsidRDefault="00D3603C" w:rsidP="00CE77E3">
      <w:r>
        <w:t>Requests to the State Coordinator-General should be in the form of a letter addressed to:</w:t>
      </w:r>
    </w:p>
    <w:p w:rsidR="00D3603C" w:rsidRDefault="00D3603C" w:rsidP="00CE77E3"/>
    <w:p w:rsidR="00D3603C" w:rsidRDefault="00D3603C" w:rsidP="00D3603C">
      <w:pPr>
        <w:ind w:left="720"/>
      </w:pPr>
      <w:r>
        <w:t>Mr Jim Hallion</w:t>
      </w:r>
    </w:p>
    <w:p w:rsidR="00D3603C" w:rsidRDefault="00D3603C" w:rsidP="00D3603C">
      <w:pPr>
        <w:ind w:left="720"/>
      </w:pPr>
      <w:r>
        <w:t>State Coordinator-General</w:t>
      </w:r>
    </w:p>
    <w:p w:rsidR="00D3603C" w:rsidRDefault="00D3603C" w:rsidP="00D3603C">
      <w:pPr>
        <w:ind w:left="720"/>
      </w:pPr>
      <w:r>
        <w:t>GPO Box 2343</w:t>
      </w:r>
    </w:p>
    <w:p w:rsidR="00D3603C" w:rsidRDefault="00D3603C" w:rsidP="00D3603C">
      <w:pPr>
        <w:ind w:left="720"/>
      </w:pPr>
      <w:proofErr w:type="gramStart"/>
      <w:r>
        <w:t>ADELAIDE  SA</w:t>
      </w:r>
      <w:proofErr w:type="gramEnd"/>
      <w:r>
        <w:t xml:space="preserve">  5000</w:t>
      </w:r>
    </w:p>
    <w:p w:rsidR="00D3603C" w:rsidRPr="00D3603C" w:rsidRDefault="00D3603C" w:rsidP="00D3603C">
      <w:pPr>
        <w:ind w:left="720"/>
      </w:pPr>
      <w:r>
        <w:t>Via email:  dpti.ocg@sa.gov.au</w:t>
      </w:r>
    </w:p>
    <w:p w:rsidR="008973EA" w:rsidRDefault="008973EA">
      <w:r>
        <w:br w:type="page"/>
      </w:r>
    </w:p>
    <w:p w:rsidR="00E85F88" w:rsidRDefault="008973EA" w:rsidP="008973EA">
      <w:pPr>
        <w:jc w:val="center"/>
      </w:pPr>
      <w:r>
        <w:rPr>
          <w:b/>
        </w:rPr>
        <w:lastRenderedPageBreak/>
        <w:t>APPENDIX A</w:t>
      </w:r>
    </w:p>
    <w:p w:rsidR="003E3089" w:rsidRDefault="003E3089" w:rsidP="008973EA">
      <w:pPr>
        <w:jc w:val="center"/>
      </w:pPr>
    </w:p>
    <w:p w:rsidR="003E3089" w:rsidRDefault="003E3089" w:rsidP="003E3089"/>
    <w:p w:rsidR="003E3089" w:rsidRDefault="006B298B" w:rsidP="003E3089">
      <w:r>
        <w:rPr>
          <w:noProof/>
          <w:lang w:eastAsia="en-AU"/>
        </w:rPr>
        <w:drawing>
          <wp:inline distT="0" distB="0" distL="0" distR="0" wp14:anchorId="2A0EC9F9" wp14:editId="505EAF9C">
            <wp:extent cx="6524203" cy="819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524203" cy="8191500"/>
                    </a:xfrm>
                    <a:prstGeom prst="rect">
                      <a:avLst/>
                    </a:prstGeom>
                  </pic:spPr>
                </pic:pic>
              </a:graphicData>
            </a:graphic>
          </wp:inline>
        </w:drawing>
      </w:r>
    </w:p>
    <w:sectPr w:rsidR="003E3089" w:rsidSect="00DF08EC">
      <w:headerReference w:type="even" r:id="rId11"/>
      <w:headerReference w:type="default" r:id="rId12"/>
      <w:footerReference w:type="default" r:id="rId13"/>
      <w:headerReference w:type="first" r:id="rId14"/>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A5D" w:rsidRDefault="00BF2A5D" w:rsidP="00BF2A5D">
      <w:r>
        <w:separator/>
      </w:r>
    </w:p>
  </w:endnote>
  <w:endnote w:type="continuationSeparator" w:id="0">
    <w:p w:rsidR="00BF2A5D" w:rsidRDefault="00BF2A5D" w:rsidP="00BF2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0950988"/>
      <w:docPartObj>
        <w:docPartGallery w:val="Page Numbers (Bottom of Page)"/>
        <w:docPartUnique/>
      </w:docPartObj>
    </w:sdtPr>
    <w:sdtEndPr>
      <w:rPr>
        <w:noProof/>
      </w:rPr>
    </w:sdtEndPr>
    <w:sdtContent>
      <w:p w:rsidR="00236C2B" w:rsidRDefault="00236C2B">
        <w:pPr>
          <w:pStyle w:val="Footer"/>
          <w:jc w:val="right"/>
        </w:pPr>
        <w:r>
          <w:fldChar w:fldCharType="begin"/>
        </w:r>
        <w:r>
          <w:instrText xml:space="preserve"> PAGE   \* MERGEFORMAT </w:instrText>
        </w:r>
        <w:r>
          <w:fldChar w:fldCharType="separate"/>
        </w:r>
        <w:r w:rsidR="008B4CA7">
          <w:rPr>
            <w:noProof/>
          </w:rPr>
          <w:t>5</w:t>
        </w:r>
        <w:r>
          <w:rPr>
            <w:noProof/>
          </w:rPr>
          <w:fldChar w:fldCharType="end"/>
        </w:r>
      </w:p>
    </w:sdtContent>
  </w:sdt>
  <w:p w:rsidR="00BF2A5D" w:rsidRDefault="00BF2A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A5D" w:rsidRDefault="00BF2A5D" w:rsidP="00BF2A5D">
      <w:r>
        <w:separator/>
      </w:r>
    </w:p>
  </w:footnote>
  <w:footnote w:type="continuationSeparator" w:id="0">
    <w:p w:rsidR="00BF2A5D" w:rsidRDefault="00BF2A5D" w:rsidP="00BF2A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A5D" w:rsidRDefault="00BF2A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A5D" w:rsidRDefault="00BF2A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A5D" w:rsidRDefault="00BF2A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7520"/>
    <w:multiLevelType w:val="hybridMultilevel"/>
    <w:tmpl w:val="527A88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6CDD2DA5"/>
    <w:multiLevelType w:val="hybridMultilevel"/>
    <w:tmpl w:val="84AEA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8EC"/>
    <w:rsid w:val="00031B20"/>
    <w:rsid w:val="000A2987"/>
    <w:rsid w:val="001C77DF"/>
    <w:rsid w:val="00236C2B"/>
    <w:rsid w:val="0029558C"/>
    <w:rsid w:val="002972CB"/>
    <w:rsid w:val="002C65A2"/>
    <w:rsid w:val="002E1FA6"/>
    <w:rsid w:val="002F7562"/>
    <w:rsid w:val="00350BB8"/>
    <w:rsid w:val="00364B40"/>
    <w:rsid w:val="003E3089"/>
    <w:rsid w:val="004F197D"/>
    <w:rsid w:val="00557A81"/>
    <w:rsid w:val="00590C5A"/>
    <w:rsid w:val="00614553"/>
    <w:rsid w:val="00682EB8"/>
    <w:rsid w:val="006A1D9E"/>
    <w:rsid w:val="006B298B"/>
    <w:rsid w:val="008973EA"/>
    <w:rsid w:val="008B4CA7"/>
    <w:rsid w:val="0095512C"/>
    <w:rsid w:val="00962FF1"/>
    <w:rsid w:val="009A78E7"/>
    <w:rsid w:val="009B3151"/>
    <w:rsid w:val="009C2D4A"/>
    <w:rsid w:val="00AD4CA8"/>
    <w:rsid w:val="00BA3E33"/>
    <w:rsid w:val="00BC7459"/>
    <w:rsid w:val="00BF2A5D"/>
    <w:rsid w:val="00BF53F5"/>
    <w:rsid w:val="00C4713F"/>
    <w:rsid w:val="00C511A3"/>
    <w:rsid w:val="00C565F4"/>
    <w:rsid w:val="00CB1ECD"/>
    <w:rsid w:val="00CE77E3"/>
    <w:rsid w:val="00D3603C"/>
    <w:rsid w:val="00D65F8B"/>
    <w:rsid w:val="00D82F24"/>
    <w:rsid w:val="00D86F39"/>
    <w:rsid w:val="00D87C95"/>
    <w:rsid w:val="00DB6569"/>
    <w:rsid w:val="00DF08EC"/>
    <w:rsid w:val="00E85F88"/>
    <w:rsid w:val="00E938D7"/>
    <w:rsid w:val="00EC0D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B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08EC"/>
    <w:rPr>
      <w:rFonts w:ascii="Tahoma" w:hAnsi="Tahoma" w:cs="Tahoma"/>
      <w:sz w:val="16"/>
      <w:szCs w:val="16"/>
    </w:rPr>
  </w:style>
  <w:style w:type="character" w:customStyle="1" w:styleId="BalloonTextChar">
    <w:name w:val="Balloon Text Char"/>
    <w:basedOn w:val="DefaultParagraphFont"/>
    <w:link w:val="BalloonText"/>
    <w:uiPriority w:val="99"/>
    <w:semiHidden/>
    <w:rsid w:val="00DF08EC"/>
    <w:rPr>
      <w:rFonts w:ascii="Tahoma" w:hAnsi="Tahoma" w:cs="Tahoma"/>
      <w:sz w:val="16"/>
      <w:szCs w:val="16"/>
    </w:rPr>
  </w:style>
  <w:style w:type="table" w:styleId="TableGrid">
    <w:name w:val="Table Grid"/>
    <w:basedOn w:val="TableNormal"/>
    <w:uiPriority w:val="59"/>
    <w:rsid w:val="009A7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1FA6"/>
    <w:pPr>
      <w:ind w:left="720"/>
      <w:contextualSpacing/>
    </w:pPr>
  </w:style>
  <w:style w:type="paragraph" w:styleId="Header">
    <w:name w:val="header"/>
    <w:basedOn w:val="Normal"/>
    <w:link w:val="HeaderChar"/>
    <w:uiPriority w:val="99"/>
    <w:unhideWhenUsed/>
    <w:rsid w:val="00BF2A5D"/>
    <w:pPr>
      <w:tabs>
        <w:tab w:val="center" w:pos="4513"/>
        <w:tab w:val="right" w:pos="9026"/>
      </w:tabs>
    </w:pPr>
  </w:style>
  <w:style w:type="character" w:customStyle="1" w:styleId="HeaderChar">
    <w:name w:val="Header Char"/>
    <w:basedOn w:val="DefaultParagraphFont"/>
    <w:link w:val="Header"/>
    <w:uiPriority w:val="99"/>
    <w:rsid w:val="00BF2A5D"/>
  </w:style>
  <w:style w:type="paragraph" w:styleId="Footer">
    <w:name w:val="footer"/>
    <w:basedOn w:val="Normal"/>
    <w:link w:val="FooterChar"/>
    <w:uiPriority w:val="99"/>
    <w:unhideWhenUsed/>
    <w:rsid w:val="00BF2A5D"/>
    <w:pPr>
      <w:tabs>
        <w:tab w:val="center" w:pos="4513"/>
        <w:tab w:val="right" w:pos="9026"/>
      </w:tabs>
    </w:pPr>
  </w:style>
  <w:style w:type="character" w:customStyle="1" w:styleId="FooterChar">
    <w:name w:val="Footer Char"/>
    <w:basedOn w:val="DefaultParagraphFont"/>
    <w:link w:val="Footer"/>
    <w:uiPriority w:val="99"/>
    <w:rsid w:val="00BF2A5D"/>
  </w:style>
  <w:style w:type="paragraph" w:customStyle="1" w:styleId="Default">
    <w:name w:val="Default"/>
    <w:basedOn w:val="Normal"/>
    <w:rsid w:val="00BA3E33"/>
    <w:pPr>
      <w:autoSpaceDE w:val="0"/>
      <w:autoSpaceDN w:val="0"/>
    </w:pPr>
    <w:rPr>
      <w:rFonts w:ascii="Times New Roman" w:hAnsi="Times New Roman" w:cs="Times New Roman"/>
      <w:color w:val="000000"/>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B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08EC"/>
    <w:rPr>
      <w:rFonts w:ascii="Tahoma" w:hAnsi="Tahoma" w:cs="Tahoma"/>
      <w:sz w:val="16"/>
      <w:szCs w:val="16"/>
    </w:rPr>
  </w:style>
  <w:style w:type="character" w:customStyle="1" w:styleId="BalloonTextChar">
    <w:name w:val="Balloon Text Char"/>
    <w:basedOn w:val="DefaultParagraphFont"/>
    <w:link w:val="BalloonText"/>
    <w:uiPriority w:val="99"/>
    <w:semiHidden/>
    <w:rsid w:val="00DF08EC"/>
    <w:rPr>
      <w:rFonts w:ascii="Tahoma" w:hAnsi="Tahoma" w:cs="Tahoma"/>
      <w:sz w:val="16"/>
      <w:szCs w:val="16"/>
    </w:rPr>
  </w:style>
  <w:style w:type="table" w:styleId="TableGrid">
    <w:name w:val="Table Grid"/>
    <w:basedOn w:val="TableNormal"/>
    <w:uiPriority w:val="59"/>
    <w:rsid w:val="009A7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1FA6"/>
    <w:pPr>
      <w:ind w:left="720"/>
      <w:contextualSpacing/>
    </w:pPr>
  </w:style>
  <w:style w:type="paragraph" w:styleId="Header">
    <w:name w:val="header"/>
    <w:basedOn w:val="Normal"/>
    <w:link w:val="HeaderChar"/>
    <w:uiPriority w:val="99"/>
    <w:unhideWhenUsed/>
    <w:rsid w:val="00BF2A5D"/>
    <w:pPr>
      <w:tabs>
        <w:tab w:val="center" w:pos="4513"/>
        <w:tab w:val="right" w:pos="9026"/>
      </w:tabs>
    </w:pPr>
  </w:style>
  <w:style w:type="character" w:customStyle="1" w:styleId="HeaderChar">
    <w:name w:val="Header Char"/>
    <w:basedOn w:val="DefaultParagraphFont"/>
    <w:link w:val="Header"/>
    <w:uiPriority w:val="99"/>
    <w:rsid w:val="00BF2A5D"/>
  </w:style>
  <w:style w:type="paragraph" w:styleId="Footer">
    <w:name w:val="footer"/>
    <w:basedOn w:val="Normal"/>
    <w:link w:val="FooterChar"/>
    <w:uiPriority w:val="99"/>
    <w:unhideWhenUsed/>
    <w:rsid w:val="00BF2A5D"/>
    <w:pPr>
      <w:tabs>
        <w:tab w:val="center" w:pos="4513"/>
        <w:tab w:val="right" w:pos="9026"/>
      </w:tabs>
    </w:pPr>
  </w:style>
  <w:style w:type="character" w:customStyle="1" w:styleId="FooterChar">
    <w:name w:val="Footer Char"/>
    <w:basedOn w:val="DefaultParagraphFont"/>
    <w:link w:val="Footer"/>
    <w:uiPriority w:val="99"/>
    <w:rsid w:val="00BF2A5D"/>
  </w:style>
  <w:style w:type="paragraph" w:customStyle="1" w:styleId="Default">
    <w:name w:val="Default"/>
    <w:basedOn w:val="Normal"/>
    <w:rsid w:val="00BA3E33"/>
    <w:pPr>
      <w:autoSpaceDE w:val="0"/>
      <w:autoSpaceDN w:val="0"/>
    </w:pPr>
    <w:rPr>
      <w:rFonts w:ascii="Times New Roman" w:hAnsi="Times New Roman" w:cs="Times New Roman"/>
      <w:color w:val="000000"/>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26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E93B3-6639-4212-839D-3E35D4AF2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F15D030E</Template>
  <TotalTime>350</TotalTime>
  <Pages>5</Pages>
  <Words>1010</Words>
  <Characters>5759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SA Government</Company>
  <LinksUpToDate>false</LinksUpToDate>
  <CharactersWithSpaces>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Kerrieanne Mason</dc:creator>
  <cp:lastModifiedBy>Kerrieanne Mason</cp:lastModifiedBy>
  <cp:revision>33</cp:revision>
  <cp:lastPrinted>2017-08-14T07:28:00Z</cp:lastPrinted>
  <dcterms:created xsi:type="dcterms:W3CDTF">2017-07-13T07:24:00Z</dcterms:created>
  <dcterms:modified xsi:type="dcterms:W3CDTF">2017-08-14T07:28:00Z</dcterms:modified>
</cp:coreProperties>
</file>