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86E8C" w14:textId="77777777" w:rsidR="005528E3" w:rsidRPr="005528E3" w:rsidRDefault="005528E3" w:rsidP="00AC724C">
      <w:bookmarkStart w:id="0" w:name="_Hlk531856997"/>
      <w:bookmarkStart w:id="1" w:name="_Hlk521945910"/>
      <w:r w:rsidRPr="005528E3">
        <w:t>DPC/G4.5</w:t>
      </w:r>
    </w:p>
    <w:p w14:paraId="7B55C381" w14:textId="77777777" w:rsidR="005528E3" w:rsidRPr="00EA2C74" w:rsidRDefault="005528E3" w:rsidP="005528E3">
      <w:r>
        <w:t>GOVERNMENT GUIDELINE ON CYBER SECURITY</w:t>
      </w:r>
    </w:p>
    <w:p w14:paraId="243A131E" w14:textId="1A92E2BF" w:rsidR="005528E3" w:rsidRPr="007F0198" w:rsidRDefault="005528E3" w:rsidP="005528E3">
      <w:pPr>
        <w:pStyle w:val="Title"/>
      </w:pPr>
      <w:r>
        <w:t>I</w:t>
      </w:r>
      <w:r w:rsidR="00577ED6">
        <w:t>SMF G</w:t>
      </w:r>
      <w:r>
        <w:t>uideline 5</w:t>
      </w:r>
      <w:r w:rsidR="00577ED6">
        <w:t xml:space="preserve"> – Cloud Computing Security Guideline</w:t>
      </w:r>
    </w:p>
    <w:bookmarkEnd w:id="0"/>
    <w:p w14:paraId="62FC2510" w14:textId="77777777" w:rsidR="005528E3" w:rsidRPr="007F0198" w:rsidRDefault="005528E3" w:rsidP="005528E3">
      <w:pPr>
        <w:pStyle w:val="Heading1"/>
      </w:pPr>
      <w:r>
        <w:t>Background</w:t>
      </w:r>
    </w:p>
    <w:p w14:paraId="7E26B55E" w14:textId="4B3D0443" w:rsidR="005528E3" w:rsidRPr="005578A1" w:rsidRDefault="005528E3" w:rsidP="005528E3">
      <w:pPr>
        <w:pStyle w:val="-Normal-"/>
      </w:pPr>
      <w:r w:rsidRPr="005578A1">
        <w:t>Cloud computing</w:t>
      </w:r>
      <w:r w:rsidR="0030639A">
        <w:t xml:space="preserve">, and </w:t>
      </w:r>
      <w:r w:rsidR="007D11E6">
        <w:t>i</w:t>
      </w:r>
      <w:r>
        <w:t>n particular ‘Software-as-a-Service’ (SaaS),</w:t>
      </w:r>
      <w:r w:rsidRPr="005578A1">
        <w:t xml:space="preserve"> presents the South Australian Government with many opportunities including the potential to reduce electronic storage and internal information and communication technology </w:t>
      </w:r>
      <w:r>
        <w:t>(</w:t>
      </w:r>
      <w:r w:rsidRPr="005578A1">
        <w:t>ICT</w:t>
      </w:r>
      <w:r>
        <w:t>)</w:t>
      </w:r>
      <w:r w:rsidRPr="005578A1">
        <w:t xml:space="preserve"> capital investment requirements. However, it also presents potentially significant </w:t>
      </w:r>
      <w:r>
        <w:t xml:space="preserve">cyber </w:t>
      </w:r>
      <w:r w:rsidRPr="005578A1">
        <w:t>security risks that require due consideration.</w:t>
      </w:r>
    </w:p>
    <w:p w14:paraId="2E08E032" w14:textId="02A28D59" w:rsidR="005528E3" w:rsidRPr="005578A1" w:rsidRDefault="005528E3" w:rsidP="005528E3">
      <w:pPr>
        <w:pStyle w:val="-Normal-"/>
      </w:pPr>
      <w:r w:rsidRPr="005578A1">
        <w:t xml:space="preserve">This guideline </w:t>
      </w:r>
      <w:r>
        <w:t>highlights items of importance that must be considered by</w:t>
      </w:r>
      <w:r w:rsidRPr="005578A1">
        <w:t xml:space="preserve"> agencies </w:t>
      </w:r>
      <w:r>
        <w:t>contemplating a move to Saa</w:t>
      </w:r>
      <w:r w:rsidRPr="005578A1">
        <w:t>S</w:t>
      </w:r>
      <w:r>
        <w:t xml:space="preserve"> or other models of cloud computing such as Infrastructure-as-a-Service (IaaS) and Platform-as-a-Service (PaaS)</w:t>
      </w:r>
      <w:r w:rsidRPr="005578A1">
        <w:t xml:space="preserve">. </w:t>
      </w:r>
      <w:r>
        <w:rPr>
          <w:szCs w:val="22"/>
          <w:lang w:val="en-US"/>
        </w:rPr>
        <w:t xml:space="preserve">This guideline supports implementation of Information Security Management Framework </w:t>
      </w:r>
      <w:hyperlink r:id="rId8" w:history="1">
        <w:r w:rsidRPr="00EC688D">
          <w:rPr>
            <w:rStyle w:val="Hyperlink"/>
            <w:szCs w:val="22"/>
            <w:u w:val="single"/>
            <w:lang w:val="en-US"/>
          </w:rPr>
          <w:t>ISMF Policy Statement 5</w:t>
        </w:r>
      </w:hyperlink>
      <w:r>
        <w:rPr>
          <w:szCs w:val="22"/>
          <w:lang w:val="en-US"/>
        </w:rPr>
        <w:t>.</w:t>
      </w:r>
    </w:p>
    <w:p w14:paraId="258D9A2F" w14:textId="77777777" w:rsidR="005528E3" w:rsidRPr="007F0198" w:rsidRDefault="005528E3" w:rsidP="005528E3">
      <w:pPr>
        <w:pStyle w:val="Heading1"/>
      </w:pPr>
      <w:r>
        <w:t>Guidance</w:t>
      </w:r>
    </w:p>
    <w:p w14:paraId="4460C382" w14:textId="77777777" w:rsidR="005528E3" w:rsidRDefault="005528E3" w:rsidP="005528E3">
      <w:pPr>
        <w:pStyle w:val="-Normal-"/>
      </w:pPr>
      <w:r>
        <w:t>Cloud computing represents a considerable opportunity for the government and private sector to reduce costs, transfer responsibilities, eliminate duplication and improve service agility and response to change. It is of particular interest to organisations that wish to migrate to an outsourced arrangement for select functions, services or other capabilities that are not considered a component of ‘core business’.</w:t>
      </w:r>
    </w:p>
    <w:p w14:paraId="4F39222D" w14:textId="77777777" w:rsidR="005528E3" w:rsidRDefault="005528E3" w:rsidP="005528E3">
      <w:pPr>
        <w:pStyle w:val="-Normal-"/>
      </w:pPr>
      <w:r>
        <w:t xml:space="preserve">Cloud computing carries many of the well documented risks and opportunities associated with traditional outsourcing </w:t>
      </w:r>
      <w:proofErr w:type="gramStart"/>
      <w:r>
        <w:t>arrangements, but</w:t>
      </w:r>
      <w:proofErr w:type="gramEnd"/>
      <w:r>
        <w:t xml:space="preserve"> adds unique dimensions to an organisation’s risk profile in terms of liability, control, user access, business recovery and continuity planning, legal obligations, data migration and portability, change management and capacity planning undertakings to name just a few.</w:t>
      </w:r>
    </w:p>
    <w:p w14:paraId="5DE0EAEB" w14:textId="77777777" w:rsidR="005528E3" w:rsidRPr="001C4866" w:rsidRDefault="005528E3" w:rsidP="005528E3">
      <w:pPr>
        <w:pStyle w:val="Heading1"/>
      </w:pPr>
      <w:r w:rsidRPr="001C4866">
        <w:t>C</w:t>
      </w:r>
      <w:r>
        <w:t>loud Computing</w:t>
      </w:r>
      <w:r w:rsidRPr="001C4866">
        <w:t xml:space="preserve">: </w:t>
      </w:r>
      <w:r>
        <w:t>a heavy duty form of outsourcing</w:t>
      </w:r>
    </w:p>
    <w:p w14:paraId="18A119A8" w14:textId="60551B35" w:rsidR="005528E3" w:rsidRDefault="005528E3" w:rsidP="005528E3">
      <w:pPr>
        <w:pStyle w:val="-Normal-"/>
      </w:pPr>
      <w:r>
        <w:t xml:space="preserve">Agencies contemplating a cloud computing implementation in any form should first consult </w:t>
      </w:r>
      <w:hyperlink r:id="rId9" w:history="1">
        <w:r w:rsidRPr="00EC688D">
          <w:rPr>
            <w:rStyle w:val="Hyperlink"/>
            <w:u w:val="single"/>
          </w:rPr>
          <w:t>ISMF Guideline 6</w:t>
        </w:r>
      </w:hyperlink>
      <w:r>
        <w:t xml:space="preserve"> to familiarise themselves with fundamental cyber security considerations in procurement activities. This guideline describes additional considerations for cloud computing in recognition of its unique business promise that gives rise to unique business risk characteristics.</w:t>
      </w:r>
    </w:p>
    <w:p w14:paraId="7762052A" w14:textId="77777777" w:rsidR="005528E3" w:rsidRDefault="005528E3" w:rsidP="005528E3">
      <w:pPr>
        <w:spacing w:after="0" w:line="240" w:lineRule="auto"/>
        <w:rPr>
          <w:rFonts w:eastAsiaTheme="majorEastAsia" w:cstheme="majorBidi"/>
          <w:b/>
          <w:color w:val="000000" w:themeColor="text1"/>
          <w:szCs w:val="26"/>
        </w:rPr>
      </w:pPr>
      <w:r>
        <w:br w:type="page"/>
      </w:r>
    </w:p>
    <w:p w14:paraId="066D12E0" w14:textId="77777777" w:rsidR="005528E3" w:rsidRPr="00DB179B" w:rsidRDefault="005528E3" w:rsidP="005528E3">
      <w:pPr>
        <w:pStyle w:val="Heading2"/>
      </w:pPr>
      <w:r>
        <w:lastRenderedPageBreak/>
        <w:t>Added dimensions to risk assessment</w:t>
      </w:r>
    </w:p>
    <w:p w14:paraId="2179BD2B" w14:textId="77777777" w:rsidR="005528E3" w:rsidRDefault="005528E3" w:rsidP="005528E3">
      <w:pPr>
        <w:pStyle w:val="-Normal-"/>
      </w:pPr>
      <w:r>
        <w:t xml:space="preserve">Business owners should conduct a risk assessment for third party suppliers in concert with the agency </w:t>
      </w:r>
      <w:r w:rsidRPr="00C07C8E">
        <w:t>I</w:t>
      </w:r>
      <w:r>
        <w:t xml:space="preserve">nformation </w:t>
      </w:r>
      <w:r w:rsidRPr="00C07C8E">
        <w:t>T</w:t>
      </w:r>
      <w:r>
        <w:t>echnology</w:t>
      </w:r>
      <w:r w:rsidRPr="00C07C8E">
        <w:t xml:space="preserve"> Security Adviser </w:t>
      </w:r>
      <w:r>
        <w:t>(</w:t>
      </w:r>
      <w:r w:rsidRPr="00C07C8E">
        <w:t>ITSA</w:t>
      </w:r>
      <w:r>
        <w:t>) that encompasses the following considerations:</w:t>
      </w:r>
    </w:p>
    <w:p w14:paraId="565AF163" w14:textId="77777777" w:rsidR="005528E3" w:rsidRDefault="005528E3" w:rsidP="005528E3">
      <w:pPr>
        <w:pStyle w:val="NumberedList"/>
        <w:ind w:left="568" w:hanging="284"/>
      </w:pPr>
      <w:r>
        <w:t>Legislative and jurisdictional risk</w:t>
      </w:r>
    </w:p>
    <w:p w14:paraId="79EB49D7" w14:textId="77777777" w:rsidR="005528E3" w:rsidRPr="00577ED6" w:rsidRDefault="005528E3" w:rsidP="00E36F66">
      <w:pPr>
        <w:pStyle w:val="ListParagraph"/>
        <w:rPr>
          <w:u w:val="none"/>
        </w:rPr>
      </w:pPr>
      <w:r w:rsidRPr="00577ED6">
        <w:rPr>
          <w:u w:val="none"/>
        </w:rPr>
        <w:t>where is the service physically located?</w:t>
      </w:r>
    </w:p>
    <w:p w14:paraId="527CA601" w14:textId="77777777" w:rsidR="005528E3" w:rsidRPr="00577ED6" w:rsidRDefault="005528E3" w:rsidP="00E36F66">
      <w:pPr>
        <w:pStyle w:val="ListParagraph"/>
        <w:rPr>
          <w:u w:val="none"/>
        </w:rPr>
      </w:pPr>
      <w:r w:rsidRPr="00577ED6">
        <w:rPr>
          <w:u w:val="none"/>
        </w:rPr>
        <w:t>does privacy legislation exist in that jurisdiction? If so, what are the provisions?</w:t>
      </w:r>
    </w:p>
    <w:p w14:paraId="12F95998" w14:textId="77777777" w:rsidR="005528E3" w:rsidRDefault="005528E3" w:rsidP="005528E3">
      <w:pPr>
        <w:pStyle w:val="NumberedList"/>
        <w:ind w:left="568" w:hanging="284"/>
      </w:pPr>
      <w:r>
        <w:t>Terms and conditions of service</w:t>
      </w:r>
    </w:p>
    <w:p w14:paraId="02EEDEE9" w14:textId="77777777" w:rsidR="005528E3" w:rsidRPr="00577ED6" w:rsidRDefault="005528E3" w:rsidP="00E36F66">
      <w:pPr>
        <w:pStyle w:val="ListParagraph"/>
        <w:rPr>
          <w:u w:val="none"/>
        </w:rPr>
      </w:pPr>
      <w:r w:rsidRPr="00577ED6">
        <w:rPr>
          <w:u w:val="none"/>
        </w:rPr>
        <w:t>do the terms and conditions confer ownership of the information to the provider?</w:t>
      </w:r>
    </w:p>
    <w:p w14:paraId="20EA3716" w14:textId="77777777" w:rsidR="005528E3" w:rsidRPr="00577ED6" w:rsidRDefault="005528E3" w:rsidP="00E36F66">
      <w:pPr>
        <w:pStyle w:val="ListParagraph"/>
        <w:rPr>
          <w:u w:val="none"/>
        </w:rPr>
      </w:pPr>
      <w:r w:rsidRPr="00577ED6">
        <w:rPr>
          <w:u w:val="none"/>
        </w:rPr>
        <w:t>do the terms and conditions provide a ‘cooling off period’ when changes to terms occur?</w:t>
      </w:r>
    </w:p>
    <w:p w14:paraId="54500170" w14:textId="77777777" w:rsidR="005528E3" w:rsidRPr="00577ED6" w:rsidRDefault="005528E3" w:rsidP="00E36F66">
      <w:pPr>
        <w:pStyle w:val="ListParagraph"/>
        <w:rPr>
          <w:u w:val="none"/>
        </w:rPr>
      </w:pPr>
      <w:r w:rsidRPr="00577ED6">
        <w:rPr>
          <w:u w:val="none"/>
        </w:rPr>
        <w:t>under what law and jurisdiction are the terms governed?</w:t>
      </w:r>
    </w:p>
    <w:p w14:paraId="1C540A3E" w14:textId="77777777" w:rsidR="005528E3" w:rsidRDefault="005528E3" w:rsidP="005528E3">
      <w:pPr>
        <w:pStyle w:val="NumberedList"/>
        <w:ind w:left="568" w:hanging="284"/>
      </w:pPr>
      <w:r>
        <w:t>User and identity management</w:t>
      </w:r>
    </w:p>
    <w:p w14:paraId="5F19BD38" w14:textId="77777777" w:rsidR="005528E3" w:rsidRPr="00577ED6" w:rsidRDefault="005528E3" w:rsidP="00E36F66">
      <w:pPr>
        <w:pStyle w:val="ListParagraph"/>
        <w:rPr>
          <w:u w:val="none"/>
        </w:rPr>
      </w:pPr>
      <w:r w:rsidRPr="00577ED6">
        <w:rPr>
          <w:u w:val="none"/>
        </w:rPr>
        <w:t>how is the identity managed and by whom?</w:t>
      </w:r>
    </w:p>
    <w:p w14:paraId="797CFF3B" w14:textId="77777777" w:rsidR="005528E3" w:rsidRPr="00577ED6" w:rsidRDefault="005528E3" w:rsidP="00E36F66">
      <w:pPr>
        <w:pStyle w:val="ListParagraph"/>
        <w:rPr>
          <w:u w:val="none"/>
        </w:rPr>
      </w:pPr>
      <w:r w:rsidRPr="00577ED6">
        <w:rPr>
          <w:u w:val="none"/>
        </w:rPr>
        <w:t>who has access to the user and account management functions and features of the service?</w:t>
      </w:r>
    </w:p>
    <w:p w14:paraId="4B587E3B" w14:textId="77777777" w:rsidR="005528E3" w:rsidRPr="00577ED6" w:rsidRDefault="005528E3" w:rsidP="00E36F66">
      <w:pPr>
        <w:pStyle w:val="ListParagraph"/>
        <w:rPr>
          <w:u w:val="none"/>
        </w:rPr>
      </w:pPr>
      <w:r w:rsidRPr="00577ED6">
        <w:rPr>
          <w:u w:val="none"/>
        </w:rPr>
        <w:t>is the user identity dedicated to a function and role or is it used for multiple purposes? An example of this is combine private/public activities.</w:t>
      </w:r>
    </w:p>
    <w:p w14:paraId="1CEF8AC2" w14:textId="77777777" w:rsidR="005528E3" w:rsidRDefault="005528E3" w:rsidP="005528E3">
      <w:pPr>
        <w:pStyle w:val="NumberedList"/>
        <w:ind w:left="568" w:hanging="284"/>
      </w:pPr>
      <w:r>
        <w:t>Access and connectivity</w:t>
      </w:r>
    </w:p>
    <w:p w14:paraId="2CAAE87A" w14:textId="77777777" w:rsidR="005528E3" w:rsidRPr="00577ED6" w:rsidRDefault="005528E3" w:rsidP="00E36F66">
      <w:pPr>
        <w:pStyle w:val="ListParagraph"/>
        <w:rPr>
          <w:u w:val="none"/>
        </w:rPr>
      </w:pPr>
      <w:r w:rsidRPr="00577ED6">
        <w:rPr>
          <w:u w:val="none"/>
        </w:rPr>
        <w:t>is the level of the system availability and accessibility acceptable?</w:t>
      </w:r>
    </w:p>
    <w:p w14:paraId="33A56C69" w14:textId="77777777" w:rsidR="005528E3" w:rsidRPr="00577ED6" w:rsidRDefault="005528E3" w:rsidP="00E36F66">
      <w:pPr>
        <w:pStyle w:val="ListParagraph"/>
        <w:rPr>
          <w:u w:val="none"/>
        </w:rPr>
      </w:pPr>
      <w:r w:rsidRPr="00577ED6">
        <w:rPr>
          <w:u w:val="none"/>
        </w:rPr>
        <w:t>how is connectivity achieved? Is it encrypted? Does it have redundancy? Does it traverse jurisdictions such as the USA and/or Singapore, China etc?</w:t>
      </w:r>
    </w:p>
    <w:p w14:paraId="6C3CB4AF" w14:textId="77777777" w:rsidR="005528E3" w:rsidRPr="00DB179B" w:rsidRDefault="005528E3" w:rsidP="005528E3">
      <w:pPr>
        <w:pStyle w:val="Heading2"/>
      </w:pPr>
      <w:r>
        <w:t>Alignment with ISMF requirements and ISO 27002 is non-trivial</w:t>
      </w:r>
    </w:p>
    <w:p w14:paraId="6FEC94C8" w14:textId="77777777" w:rsidR="005528E3" w:rsidRDefault="005528E3" w:rsidP="005528E3">
      <w:pPr>
        <w:pStyle w:val="-Normal-"/>
      </w:pPr>
      <w:r>
        <w:t>Owing to the complexity of cloud implementations and the myriad of possibilities it enables, Responsible Parties will need to consider a significant number of policies, standards and controls from the ISMF. The list of ISO/IEC 27002:2006 clauses below establishes a starting point for considered review of these complexities:</w:t>
      </w:r>
    </w:p>
    <w:p w14:paraId="6214BC8F" w14:textId="77777777" w:rsidR="005528E3" w:rsidRPr="00577ED6" w:rsidRDefault="005528E3" w:rsidP="00E36F66">
      <w:pPr>
        <w:pStyle w:val="ListParagraph"/>
        <w:rPr>
          <w:u w:val="none"/>
        </w:rPr>
      </w:pPr>
      <w:r w:rsidRPr="00577ED6">
        <w:rPr>
          <w:u w:val="none"/>
        </w:rPr>
        <w:t>15.1.4: Data protection, privacy, regulatory requirements</w:t>
      </w:r>
    </w:p>
    <w:p w14:paraId="5092962F" w14:textId="77777777" w:rsidR="005528E3" w:rsidRPr="00577ED6" w:rsidRDefault="005528E3" w:rsidP="00E36F66">
      <w:pPr>
        <w:pStyle w:val="ListParagraph"/>
        <w:rPr>
          <w:u w:val="none"/>
        </w:rPr>
      </w:pPr>
      <w:r w:rsidRPr="00577ED6">
        <w:rPr>
          <w:u w:val="none"/>
        </w:rPr>
        <w:t>11.2: Access management</w:t>
      </w:r>
    </w:p>
    <w:p w14:paraId="229879EB" w14:textId="77777777" w:rsidR="005528E3" w:rsidRPr="00577ED6" w:rsidRDefault="005528E3" w:rsidP="00E36F66">
      <w:pPr>
        <w:pStyle w:val="ListParagraph"/>
        <w:rPr>
          <w:u w:val="none"/>
        </w:rPr>
      </w:pPr>
      <w:r w:rsidRPr="00577ED6">
        <w:rPr>
          <w:u w:val="none"/>
        </w:rPr>
        <w:t>10.7: Media handling and security</w:t>
      </w:r>
    </w:p>
    <w:p w14:paraId="4E89F4FA" w14:textId="77777777" w:rsidR="005528E3" w:rsidRPr="00577ED6" w:rsidRDefault="005528E3" w:rsidP="00E36F66">
      <w:pPr>
        <w:pStyle w:val="ListParagraph"/>
        <w:rPr>
          <w:u w:val="none"/>
        </w:rPr>
      </w:pPr>
      <w:r w:rsidRPr="00577ED6">
        <w:rPr>
          <w:u w:val="none"/>
        </w:rPr>
        <w:t>11.6.2: Separation/Isolation</w:t>
      </w:r>
    </w:p>
    <w:p w14:paraId="1D87F509" w14:textId="77777777" w:rsidR="005528E3" w:rsidRPr="00577ED6" w:rsidRDefault="005528E3" w:rsidP="00E36F66">
      <w:pPr>
        <w:pStyle w:val="ListParagraph"/>
        <w:rPr>
          <w:u w:val="none"/>
        </w:rPr>
      </w:pPr>
      <w:r w:rsidRPr="00577ED6">
        <w:rPr>
          <w:u w:val="none"/>
        </w:rPr>
        <w:t>10.7: Operator Procedures</w:t>
      </w:r>
    </w:p>
    <w:p w14:paraId="03D0286C" w14:textId="77777777" w:rsidR="005528E3" w:rsidRPr="00577ED6" w:rsidRDefault="005528E3" w:rsidP="00E36F66">
      <w:pPr>
        <w:pStyle w:val="ListParagraph"/>
        <w:rPr>
          <w:u w:val="none"/>
        </w:rPr>
      </w:pPr>
      <w:r w:rsidRPr="00577ED6">
        <w:rPr>
          <w:u w:val="none"/>
        </w:rPr>
        <w:t>10.6.2: Network Security</w:t>
      </w:r>
    </w:p>
    <w:p w14:paraId="63AB7C04" w14:textId="77777777" w:rsidR="005528E3" w:rsidRPr="00577ED6" w:rsidRDefault="005528E3" w:rsidP="00E36F66">
      <w:pPr>
        <w:pStyle w:val="ListParagraph"/>
        <w:rPr>
          <w:u w:val="none"/>
        </w:rPr>
      </w:pPr>
      <w:r w:rsidRPr="00577ED6">
        <w:rPr>
          <w:u w:val="none"/>
        </w:rPr>
        <w:t>10.10: Logging</w:t>
      </w:r>
    </w:p>
    <w:p w14:paraId="44C19BEA" w14:textId="77777777" w:rsidR="005528E3" w:rsidRPr="00577ED6" w:rsidRDefault="005528E3" w:rsidP="00E36F66">
      <w:pPr>
        <w:pStyle w:val="ListParagraph"/>
        <w:rPr>
          <w:u w:val="none"/>
        </w:rPr>
      </w:pPr>
      <w:r w:rsidRPr="00577ED6">
        <w:rPr>
          <w:u w:val="none"/>
        </w:rPr>
        <w:t>10.2: Third party service delivery</w:t>
      </w:r>
    </w:p>
    <w:p w14:paraId="52874084" w14:textId="77777777" w:rsidR="005528E3" w:rsidRPr="00577ED6" w:rsidRDefault="005528E3" w:rsidP="00E36F66">
      <w:pPr>
        <w:pStyle w:val="ListParagraph"/>
        <w:rPr>
          <w:u w:val="none"/>
        </w:rPr>
      </w:pPr>
      <w:r w:rsidRPr="00577ED6">
        <w:rPr>
          <w:u w:val="none"/>
        </w:rPr>
        <w:t>6.2: External organisations</w:t>
      </w:r>
    </w:p>
    <w:p w14:paraId="2908D029" w14:textId="77777777" w:rsidR="00577ED6" w:rsidRDefault="00577ED6" w:rsidP="005528E3">
      <w:pPr>
        <w:pStyle w:val="Heading1"/>
      </w:pPr>
      <w:r>
        <w:br w:type="page"/>
      </w:r>
    </w:p>
    <w:p w14:paraId="29C2DFFF" w14:textId="2F74A5C9" w:rsidR="005528E3" w:rsidRPr="00740765" w:rsidRDefault="005528E3" w:rsidP="005528E3">
      <w:pPr>
        <w:pStyle w:val="Heading1"/>
      </w:pPr>
      <w:r w:rsidRPr="00740765">
        <w:lastRenderedPageBreak/>
        <w:t>G</w:t>
      </w:r>
      <w:r>
        <w:t>overnment Implementation: essential resources</w:t>
      </w:r>
    </w:p>
    <w:p w14:paraId="3417FD86" w14:textId="77777777" w:rsidR="005528E3" w:rsidRDefault="005528E3" w:rsidP="005528E3">
      <w:pPr>
        <w:pStyle w:val="-Normal-"/>
      </w:pPr>
      <w:r>
        <w:t xml:space="preserve">The resources listed or embedded below constitute a minimal reference of documents, tools and utilities that should be consulted in any cloud computing study for South Australian government agencies. Where possible, documents and tools have been embedded with a hyperlink (web location) to the source content so that subsequent versions to those published within this guideline can be acquired. All materials embedded as objects in this guideline remain the property of their respective copyright holders. No rights are transferred or conveyed by using this guideline. All embedded objects have been publicly </w:t>
      </w:r>
      <w:proofErr w:type="gramStart"/>
      <w:r>
        <w:t>sourced</w:t>
      </w:r>
      <w:proofErr w:type="gramEnd"/>
      <w:r>
        <w:t xml:space="preserve"> and rights holders are instructed to contact the Department of the Premier and Cabinet (DPC) if they wish to request removal of their article(s). Embedded objects in this guideline are only accessible in the Word format version of this document (</w:t>
      </w:r>
      <w:proofErr w:type="spellStart"/>
      <w:r>
        <w:t>ie</w:t>
      </w:r>
      <w:proofErr w:type="spellEnd"/>
      <w:r>
        <w:t xml:space="preserve"> not accessible in the PDF version of this guideline).</w:t>
      </w:r>
    </w:p>
    <w:p w14:paraId="1765C6E3" w14:textId="369FED55" w:rsidR="005528E3" w:rsidRPr="00577ED6" w:rsidRDefault="0065458F" w:rsidP="00E36F66">
      <w:pPr>
        <w:pStyle w:val="ListParagraph"/>
        <w:rPr>
          <w:u w:val="none"/>
        </w:rPr>
      </w:pPr>
      <w:hyperlink r:id="rId10" w:history="1">
        <w:r w:rsidR="00812B46" w:rsidRPr="00577ED6">
          <w:rPr>
            <w:rStyle w:val="Hyperlink"/>
            <w:u w:val="single"/>
          </w:rPr>
          <w:t>Advice on managing the record-keeping risks associated with cloud computing</w:t>
        </w:r>
      </w:hyperlink>
      <w:r w:rsidR="00812B46" w:rsidRPr="00577ED6">
        <w:rPr>
          <w:rStyle w:val="Hyperlink"/>
          <w:color w:val="auto"/>
        </w:rPr>
        <w:t xml:space="preserve">, </w:t>
      </w:r>
      <w:r w:rsidR="005528E3" w:rsidRPr="00577ED6">
        <w:rPr>
          <w:u w:val="none"/>
        </w:rPr>
        <w:t>Australasian Digital Recordkeeping Initiative (ADRI</w:t>
      </w:r>
      <w:r w:rsidR="00812B46" w:rsidRPr="00577ED6">
        <w:rPr>
          <w:u w:val="none"/>
        </w:rPr>
        <w:t>)</w:t>
      </w:r>
    </w:p>
    <w:p w14:paraId="779480E9" w14:textId="0DDFEE79" w:rsidR="00EC688D" w:rsidRPr="00577ED6" w:rsidRDefault="0065458F" w:rsidP="00E36F66">
      <w:pPr>
        <w:pStyle w:val="ListParagraph"/>
        <w:rPr>
          <w:u w:val="none"/>
        </w:rPr>
      </w:pPr>
      <w:hyperlink r:id="rId11" w:anchor="_overview" w:history="1">
        <w:r w:rsidR="00812B46" w:rsidRPr="00577ED6">
          <w:rPr>
            <w:rStyle w:val="Hyperlink"/>
            <w:u w:val="single"/>
          </w:rPr>
          <w:t>Cloud Controls Matrix</w:t>
        </w:r>
      </w:hyperlink>
      <w:r w:rsidR="00812B46" w:rsidRPr="00577ED6">
        <w:rPr>
          <w:rStyle w:val="Hyperlink"/>
        </w:rPr>
        <w:t>,</w:t>
      </w:r>
      <w:r w:rsidR="00812B46" w:rsidRPr="00577ED6">
        <w:rPr>
          <w:u w:val="none"/>
        </w:rPr>
        <w:t xml:space="preserve"> </w:t>
      </w:r>
      <w:r w:rsidR="005528E3" w:rsidRPr="00577ED6">
        <w:rPr>
          <w:u w:val="none"/>
        </w:rPr>
        <w:t>Cloud Security Alliance (CSA)</w:t>
      </w:r>
      <w:r w:rsidR="00812B46" w:rsidRPr="00577ED6">
        <w:rPr>
          <w:u w:val="none"/>
        </w:rPr>
        <w:t>,</w:t>
      </w:r>
      <w:r w:rsidR="005528E3" w:rsidRPr="00577ED6">
        <w:rPr>
          <w:u w:val="none"/>
        </w:rPr>
        <w:t xml:space="preserve"> provides accessible translation and lookup between industry and international standards and frameworks with those controls recommended or specified by the CSA.</w:t>
      </w:r>
    </w:p>
    <w:p w14:paraId="29132193" w14:textId="3B4067BF" w:rsidR="005528E3" w:rsidRPr="00577ED6" w:rsidRDefault="0065458F" w:rsidP="00E36F66">
      <w:pPr>
        <w:pStyle w:val="ListParagraph"/>
        <w:rPr>
          <w:u w:val="none"/>
        </w:rPr>
      </w:pPr>
      <w:hyperlink r:id="rId12" w:history="1">
        <w:r w:rsidR="00812B46" w:rsidRPr="00577ED6">
          <w:rPr>
            <w:rStyle w:val="Hyperlink"/>
            <w:u w:val="single"/>
          </w:rPr>
          <w:t>Cloud Computing Strategic Direction Paper</w:t>
        </w:r>
      </w:hyperlink>
      <w:r w:rsidR="00812B46" w:rsidRPr="00577ED6">
        <w:rPr>
          <w:rStyle w:val="Hyperlink"/>
        </w:rPr>
        <w:t xml:space="preserve">, </w:t>
      </w:r>
      <w:r w:rsidR="005528E3" w:rsidRPr="00577ED6">
        <w:rPr>
          <w:u w:val="none"/>
        </w:rPr>
        <w:t xml:space="preserve">Australian Government </w:t>
      </w:r>
      <w:r w:rsidR="005528E3" w:rsidRPr="00577ED6">
        <w:rPr>
          <w:rFonts w:cs="Arial"/>
          <w:u w:val="none"/>
        </w:rPr>
        <w:t>Department of Finance</w:t>
      </w:r>
    </w:p>
    <w:p w14:paraId="5DFBCC2F" w14:textId="32982B24" w:rsidR="005528E3" w:rsidRPr="00577ED6" w:rsidRDefault="0065458F" w:rsidP="00E36F66">
      <w:pPr>
        <w:pStyle w:val="ListParagraph"/>
        <w:rPr>
          <w:u w:val="none"/>
        </w:rPr>
      </w:pPr>
      <w:hyperlink r:id="rId13" w:history="1">
        <w:r w:rsidR="00812B46" w:rsidRPr="00577ED6">
          <w:rPr>
            <w:rStyle w:val="Hyperlink"/>
            <w:u w:val="single"/>
          </w:rPr>
          <w:t>Cloud Computing Security Considerations</w:t>
        </w:r>
      </w:hyperlink>
      <w:r w:rsidR="00812B46" w:rsidRPr="00577ED6">
        <w:rPr>
          <w:u w:val="none"/>
        </w:rPr>
        <w:t xml:space="preserve">, </w:t>
      </w:r>
      <w:r w:rsidR="00F20D57" w:rsidRPr="00577ED6">
        <w:rPr>
          <w:u w:val="none"/>
        </w:rPr>
        <w:t xml:space="preserve">Australian Signals Directorate (ASD) </w:t>
      </w:r>
    </w:p>
    <w:p w14:paraId="1FD5015D" w14:textId="1B7376AD" w:rsidR="005528E3" w:rsidRPr="00577ED6" w:rsidRDefault="0065458F" w:rsidP="00E36F66">
      <w:pPr>
        <w:pStyle w:val="ListParagraph"/>
        <w:rPr>
          <w:u w:val="none"/>
        </w:rPr>
      </w:pPr>
      <w:hyperlink r:id="rId14" w:history="1">
        <w:r w:rsidR="00812B46" w:rsidRPr="00577ED6">
          <w:rPr>
            <w:rStyle w:val="Hyperlink"/>
            <w:rFonts w:cs="Arial"/>
            <w:u w:val="single"/>
          </w:rPr>
          <w:t>Cloud Computing Security Risk Assessment</w:t>
        </w:r>
      </w:hyperlink>
      <w:r w:rsidR="00812B46" w:rsidRPr="00577ED6">
        <w:rPr>
          <w:u w:val="none"/>
        </w:rPr>
        <w:t xml:space="preserve">, </w:t>
      </w:r>
      <w:r w:rsidR="005528E3" w:rsidRPr="00577ED6">
        <w:rPr>
          <w:u w:val="none"/>
        </w:rPr>
        <w:t>European Network and Information Security Agency (</w:t>
      </w:r>
      <w:r w:rsidR="005528E3" w:rsidRPr="00577ED6">
        <w:rPr>
          <w:rFonts w:cs="Arial"/>
          <w:u w:val="none"/>
        </w:rPr>
        <w:t>ENISA</w:t>
      </w:r>
      <w:r w:rsidR="005528E3" w:rsidRPr="00577ED6">
        <w:rPr>
          <w:u w:val="none"/>
        </w:rPr>
        <w:t xml:space="preserve">) </w:t>
      </w:r>
    </w:p>
    <w:p w14:paraId="49A221E7" w14:textId="14B2653C" w:rsidR="005528E3" w:rsidRPr="00577ED6" w:rsidRDefault="0065458F" w:rsidP="00E36F66">
      <w:pPr>
        <w:pStyle w:val="ListParagraph"/>
        <w:rPr>
          <w:u w:val="none"/>
        </w:rPr>
      </w:pPr>
      <w:hyperlink r:id="rId15" w:history="1">
        <w:r w:rsidR="00812B46" w:rsidRPr="00577ED6">
          <w:rPr>
            <w:rStyle w:val="Hyperlink"/>
            <w:rFonts w:cs="Arial"/>
            <w:u w:val="single"/>
          </w:rPr>
          <w:t>Security and Resilience in Governmental Clouds</w:t>
        </w:r>
      </w:hyperlink>
      <w:r w:rsidR="00812B46" w:rsidRPr="00577ED6">
        <w:rPr>
          <w:rStyle w:val="Hyperlink"/>
          <w:rFonts w:cs="Arial"/>
        </w:rPr>
        <w:t xml:space="preserve">, </w:t>
      </w:r>
      <w:r w:rsidR="005528E3" w:rsidRPr="00577ED6">
        <w:rPr>
          <w:u w:val="none"/>
        </w:rPr>
        <w:t>European Network and Information Security Agency (</w:t>
      </w:r>
      <w:r w:rsidR="005528E3" w:rsidRPr="00577ED6">
        <w:rPr>
          <w:rFonts w:cs="Arial"/>
          <w:u w:val="none"/>
        </w:rPr>
        <w:t>ENISA</w:t>
      </w:r>
      <w:r w:rsidR="005528E3" w:rsidRPr="00577ED6">
        <w:rPr>
          <w:u w:val="none"/>
        </w:rPr>
        <w:t>)</w:t>
      </w:r>
      <w:r w:rsidR="00F20D57" w:rsidRPr="00577ED6">
        <w:rPr>
          <w:u w:val="none"/>
        </w:rPr>
        <w:t>.</w:t>
      </w:r>
    </w:p>
    <w:p w14:paraId="6BFB81F1" w14:textId="77777777" w:rsidR="005528E3" w:rsidRPr="000537F4" w:rsidRDefault="005528E3" w:rsidP="005528E3">
      <w:pPr>
        <w:pStyle w:val="Heading1"/>
      </w:pPr>
      <w:r>
        <w:t>Additional Considerations</w:t>
      </w:r>
    </w:p>
    <w:p w14:paraId="2AB4F164" w14:textId="77777777" w:rsidR="005528E3" w:rsidRDefault="005528E3" w:rsidP="005528E3">
      <w:pPr>
        <w:pStyle w:val="-Normal-"/>
      </w:pPr>
      <w:r>
        <w:t>Responsible Parties need to recognise that the agility offered by cloud computing can work both ways and that sudden changes may negatively impact business. Agencies should have a remediation plan in place in the advent of:</w:t>
      </w:r>
    </w:p>
    <w:p w14:paraId="7A9D4019" w14:textId="77777777" w:rsidR="005528E3" w:rsidRPr="00577ED6" w:rsidRDefault="005528E3" w:rsidP="00E36F66">
      <w:pPr>
        <w:pStyle w:val="ListParagraph"/>
        <w:rPr>
          <w:u w:val="none"/>
        </w:rPr>
      </w:pPr>
      <w:r w:rsidRPr="00577ED6">
        <w:rPr>
          <w:u w:val="none"/>
        </w:rPr>
        <w:t>adverse or undesirable changes to the terms and conditions of use</w:t>
      </w:r>
    </w:p>
    <w:p w14:paraId="7DB0F6D0" w14:textId="77777777" w:rsidR="005528E3" w:rsidRPr="00577ED6" w:rsidRDefault="005528E3" w:rsidP="00E36F66">
      <w:pPr>
        <w:pStyle w:val="ListParagraph"/>
        <w:rPr>
          <w:u w:val="none"/>
        </w:rPr>
      </w:pPr>
      <w:r w:rsidRPr="00577ED6">
        <w:rPr>
          <w:u w:val="none"/>
        </w:rPr>
        <w:t>changes of ownership, tertiary provider or merger and acquisitions activity</w:t>
      </w:r>
    </w:p>
    <w:p w14:paraId="08F993F5" w14:textId="77777777" w:rsidR="005528E3" w:rsidRPr="00577ED6" w:rsidRDefault="005528E3" w:rsidP="00E36F66">
      <w:pPr>
        <w:pStyle w:val="ListParagraph"/>
        <w:rPr>
          <w:u w:val="none"/>
        </w:rPr>
      </w:pPr>
      <w:r w:rsidRPr="00577ED6">
        <w:rPr>
          <w:u w:val="none"/>
        </w:rPr>
        <w:t>changes to foreign and/or Australian legislation (particularly telecommunications interception and privacy)?</w:t>
      </w:r>
    </w:p>
    <w:p w14:paraId="69ADE45C" w14:textId="77777777" w:rsidR="005528E3" w:rsidRPr="00577ED6" w:rsidRDefault="005528E3" w:rsidP="00E36F66">
      <w:pPr>
        <w:pStyle w:val="ListParagraph"/>
        <w:rPr>
          <w:u w:val="none"/>
        </w:rPr>
      </w:pPr>
      <w:r w:rsidRPr="00577ED6">
        <w:rPr>
          <w:u w:val="none"/>
        </w:rPr>
        <w:t>changes in software/user interfaces/technical characteristics or access policies from the provider?</w:t>
      </w:r>
    </w:p>
    <w:p w14:paraId="4F1E8CC4" w14:textId="77777777" w:rsidR="005528E3" w:rsidRPr="00577ED6" w:rsidRDefault="005528E3" w:rsidP="00E36F66">
      <w:pPr>
        <w:pStyle w:val="ListParagraph"/>
        <w:rPr>
          <w:u w:val="none"/>
        </w:rPr>
      </w:pPr>
      <w:r w:rsidRPr="00577ED6">
        <w:rPr>
          <w:u w:val="none"/>
        </w:rPr>
        <w:t>discontinuation and/or sudden non-availability of the service resulting from legal proceedings, bankruptcy, non-competition etc on the part of the provider.</w:t>
      </w:r>
    </w:p>
    <w:p w14:paraId="620B11E5" w14:textId="77777777" w:rsidR="005528E3" w:rsidRDefault="005528E3" w:rsidP="005528E3">
      <w:pPr>
        <w:pStyle w:val="-Normal-"/>
      </w:pPr>
      <w:r w:rsidRPr="00660C67">
        <w:t xml:space="preserve">A risk management process should be used to balance the benefits of cloud computing with the security risks associated with the agency </w:t>
      </w:r>
      <w:r>
        <w:t>ceding management functions and a large proportion of oversight to a third party</w:t>
      </w:r>
      <w:r w:rsidRPr="00660C67">
        <w:t>.</w:t>
      </w:r>
    </w:p>
    <w:p w14:paraId="5DBA5E19" w14:textId="77777777" w:rsidR="005528E3" w:rsidRPr="00660C67" w:rsidRDefault="005528E3" w:rsidP="005528E3">
      <w:pPr>
        <w:pStyle w:val="-Normal-"/>
      </w:pPr>
      <w:r w:rsidRPr="00660C67">
        <w:t xml:space="preserve">A risk assessment should consider whether the agency is willing to </w:t>
      </w:r>
      <w:r>
        <w:t>en</w:t>
      </w:r>
      <w:r w:rsidRPr="00660C67">
        <w:t xml:space="preserve">trust their reputation, business continuity, and </w:t>
      </w:r>
      <w:r>
        <w:t xml:space="preserve">information to an external entity </w:t>
      </w:r>
      <w:r w:rsidRPr="00660C67">
        <w:t xml:space="preserve">that may </w:t>
      </w:r>
      <w:r>
        <w:t>erroneously</w:t>
      </w:r>
      <w:r w:rsidRPr="00660C67">
        <w:t xml:space="preserve"> transmit, store</w:t>
      </w:r>
      <w:r>
        <w:t xml:space="preserve"> and </w:t>
      </w:r>
      <w:r>
        <w:lastRenderedPageBreak/>
        <w:t>process the agency’s data. The risk assessment must consider the criticality and sensitivity of the data involved.</w:t>
      </w:r>
    </w:p>
    <w:p w14:paraId="51B8D21A" w14:textId="77777777" w:rsidR="005528E3" w:rsidRPr="004012EB" w:rsidRDefault="005528E3" w:rsidP="005528E3">
      <w:pPr>
        <w:spacing w:before="360" w:after="360" w:line="276" w:lineRule="auto"/>
        <w:rPr>
          <w:rStyle w:val="SubtleEmphasis"/>
        </w:rPr>
      </w:pPr>
      <w:r w:rsidRPr="004012EB">
        <w:rPr>
          <w:rStyle w:val="SubtleEmphasis"/>
        </w:rPr>
        <w:t>This guideline does not aim to provide the reader with all the responsibilities, obligations, controls or consequences related to secure cloud computing. It is merely an overview of the information provided in relevant cyber security policy and the AS/NZS ISO/IEC 27002 standard. It is highly recommended that agencies review such documents in their entirety. The individual requirements of agencies will have direct bearing on what measures are implemented to mitigate identified risk(s).</w:t>
      </w:r>
    </w:p>
    <w:p w14:paraId="3A61144D" w14:textId="77777777" w:rsidR="005528E3" w:rsidRPr="001C4866" w:rsidRDefault="005528E3" w:rsidP="005528E3">
      <w:pPr>
        <w:pStyle w:val="Heading1"/>
      </w:pPr>
      <w:r w:rsidRPr="001C4866">
        <w:t>References, L</w:t>
      </w:r>
      <w:r>
        <w:t>inks</w:t>
      </w:r>
      <w:r w:rsidRPr="001C4866">
        <w:t xml:space="preserve"> </w:t>
      </w:r>
      <w:r>
        <w:t>and</w:t>
      </w:r>
      <w:r w:rsidRPr="001C4866">
        <w:t xml:space="preserve"> Additional Information</w:t>
      </w:r>
    </w:p>
    <w:p w14:paraId="3954942E" w14:textId="08F316EC" w:rsidR="005528E3" w:rsidRPr="009F2ACF" w:rsidRDefault="0065458F" w:rsidP="00E36F66">
      <w:pPr>
        <w:pStyle w:val="ListParagraph"/>
      </w:pPr>
      <w:hyperlink r:id="rId16" w:history="1">
        <w:r w:rsidR="005528E3" w:rsidRPr="009F2ACF">
          <w:rPr>
            <w:rStyle w:val="Hyperlink"/>
            <w:u w:val="single"/>
          </w:rPr>
          <w:t>Information Security Management Framework</w:t>
        </w:r>
      </w:hyperlink>
    </w:p>
    <w:p w14:paraId="7CC58A1D" w14:textId="6C4955C3" w:rsidR="005528E3" w:rsidRPr="009F2ACF" w:rsidRDefault="0065458F" w:rsidP="00E36F66">
      <w:pPr>
        <w:pStyle w:val="ListParagraph"/>
      </w:pPr>
      <w:hyperlink r:id="rId17" w:history="1">
        <w:r w:rsidR="005528E3" w:rsidRPr="009F2ACF">
          <w:rPr>
            <w:rStyle w:val="Hyperlink"/>
            <w:u w:val="single"/>
          </w:rPr>
          <w:t>PC030 Protective Security Management Framework</w:t>
        </w:r>
      </w:hyperlink>
    </w:p>
    <w:p w14:paraId="41507FD5" w14:textId="2961F501" w:rsidR="005528E3" w:rsidRPr="00B14ECD" w:rsidRDefault="0065458F" w:rsidP="00E36F66">
      <w:pPr>
        <w:pStyle w:val="ListParagraph"/>
      </w:pPr>
      <w:hyperlink r:id="rId18" w:history="1">
        <w:r w:rsidR="005528E3" w:rsidRPr="00462497">
          <w:rPr>
            <w:rStyle w:val="Hyperlink"/>
            <w:u w:val="single"/>
          </w:rPr>
          <w:t>Information Privacy Principles Instruction</w:t>
        </w:r>
      </w:hyperlink>
      <w:r w:rsidR="005528E3" w:rsidRPr="00577ED6">
        <w:rPr>
          <w:u w:val="none"/>
        </w:rPr>
        <w:t>, issued as Premier and Cabinet Circular No12</w:t>
      </w:r>
    </w:p>
    <w:p w14:paraId="4844ED9D" w14:textId="353EAEF7" w:rsidR="005528E3" w:rsidRPr="00B14ECD" w:rsidRDefault="0065458F" w:rsidP="00E36F66">
      <w:pPr>
        <w:pStyle w:val="ListParagraph"/>
      </w:pPr>
      <w:hyperlink r:id="rId19" w:history="1">
        <w:r w:rsidR="005528E3" w:rsidRPr="00462497">
          <w:rPr>
            <w:rStyle w:val="Hyperlink"/>
            <w:u w:val="single"/>
          </w:rPr>
          <w:t>Australian Government Protective Security Policy Framework</w:t>
        </w:r>
        <w:r w:rsidR="005528E3" w:rsidRPr="004012EB">
          <w:rPr>
            <w:rStyle w:val="Hyperlink"/>
            <w:color w:val="auto"/>
          </w:rPr>
          <w:t xml:space="preserve"> (PSPF)</w:t>
        </w:r>
      </w:hyperlink>
    </w:p>
    <w:p w14:paraId="175C74B5" w14:textId="6C8926C7" w:rsidR="005528E3" w:rsidRPr="00B14ECD" w:rsidRDefault="0065458F" w:rsidP="00E36F66">
      <w:pPr>
        <w:pStyle w:val="ListParagraph"/>
      </w:pPr>
      <w:hyperlink r:id="rId20" w:history="1">
        <w:r w:rsidR="005528E3" w:rsidRPr="00812B46">
          <w:rPr>
            <w:rStyle w:val="Hyperlink"/>
            <w:u w:val="single"/>
          </w:rPr>
          <w:t>Australian Government Information Security Manual</w:t>
        </w:r>
        <w:r w:rsidR="005528E3" w:rsidRPr="004012EB">
          <w:rPr>
            <w:rStyle w:val="Hyperlink"/>
            <w:color w:val="auto"/>
          </w:rPr>
          <w:t xml:space="preserve"> (ISM)</w:t>
        </w:r>
      </w:hyperlink>
      <w:r w:rsidR="00462497">
        <w:rPr>
          <w:rStyle w:val="Hyperlink"/>
          <w:color w:val="auto"/>
        </w:rPr>
        <w:t>, ASD</w:t>
      </w:r>
    </w:p>
    <w:p w14:paraId="4FD86BC9" w14:textId="1F29E291" w:rsidR="00462497" w:rsidRPr="00462497" w:rsidRDefault="0065458F" w:rsidP="00E36F66">
      <w:pPr>
        <w:pStyle w:val="ListParagraph"/>
        <w:rPr>
          <w:rStyle w:val="Hyperlink"/>
          <w:color w:val="auto"/>
        </w:rPr>
      </w:pPr>
      <w:hyperlink r:id="rId21" w:anchor="_overview" w:history="1">
        <w:r w:rsidR="00462497" w:rsidRPr="00EC688D">
          <w:rPr>
            <w:rStyle w:val="Hyperlink"/>
            <w:u w:val="single"/>
          </w:rPr>
          <w:t>Cloud Controls Matrix</w:t>
        </w:r>
      </w:hyperlink>
      <w:r w:rsidR="00462497" w:rsidRPr="009F2ACF">
        <w:rPr>
          <w:rStyle w:val="Hyperlink"/>
          <w:color w:val="auto"/>
          <w:u w:val="single"/>
        </w:rPr>
        <w:t>, CSA</w:t>
      </w:r>
    </w:p>
    <w:p w14:paraId="0890134C" w14:textId="7FAC27DF" w:rsidR="005528E3" w:rsidRPr="00577ED6" w:rsidRDefault="0065458F" w:rsidP="00E36F66">
      <w:pPr>
        <w:pStyle w:val="ListParagraph"/>
        <w:rPr>
          <w:u w:val="none"/>
        </w:rPr>
      </w:pPr>
      <w:hyperlink r:id="rId22" w:history="1">
        <w:r w:rsidR="00462497" w:rsidRPr="00812B46">
          <w:rPr>
            <w:rStyle w:val="Hyperlink"/>
            <w:u w:val="single"/>
          </w:rPr>
          <w:t>Cloud Computing Synopsis and Recommendations</w:t>
        </w:r>
      </w:hyperlink>
      <w:r w:rsidR="005528E3" w:rsidRPr="00577ED6">
        <w:rPr>
          <w:u w:val="none"/>
        </w:rPr>
        <w:t xml:space="preserve">, US National Institute of Standards and Technology </w:t>
      </w:r>
      <w:r w:rsidR="00462497" w:rsidRPr="00577ED6">
        <w:rPr>
          <w:u w:val="none"/>
        </w:rPr>
        <w:t>(NIST)</w:t>
      </w:r>
    </w:p>
    <w:p w14:paraId="06B94582" w14:textId="7AF18A43" w:rsidR="00812B46" w:rsidRDefault="0065458F" w:rsidP="00E36F66">
      <w:pPr>
        <w:pStyle w:val="ListParagraph"/>
      </w:pPr>
      <w:hyperlink r:id="rId23" w:history="1">
        <w:r w:rsidR="00812B46" w:rsidRPr="00251607">
          <w:rPr>
            <w:rStyle w:val="Hyperlink"/>
            <w:u w:val="single"/>
          </w:rPr>
          <w:t>Cloud Computing Security Considerations</w:t>
        </w:r>
      </w:hyperlink>
      <w:r w:rsidR="00812B46" w:rsidRPr="00577ED6">
        <w:rPr>
          <w:u w:val="none"/>
        </w:rPr>
        <w:t>, ASD</w:t>
      </w:r>
      <w:r w:rsidR="00812B46">
        <w:t xml:space="preserve"> </w:t>
      </w:r>
    </w:p>
    <w:p w14:paraId="4A82E21D" w14:textId="443C4D01" w:rsidR="005528E3" w:rsidRPr="00E36F66" w:rsidRDefault="0065458F" w:rsidP="00E36F66">
      <w:pPr>
        <w:pStyle w:val="ListParagraph"/>
      </w:pPr>
      <w:hyperlink r:id="rId24" w:history="1">
        <w:r w:rsidR="005528E3" w:rsidRPr="00E36F66">
          <w:rPr>
            <w:rStyle w:val="Hyperlink"/>
            <w:u w:val="single"/>
          </w:rPr>
          <w:t>Australasian Digital Recordkeeping Initiative</w:t>
        </w:r>
      </w:hyperlink>
      <w:bookmarkStart w:id="2" w:name="_GoBack"/>
      <w:bookmarkEnd w:id="2"/>
    </w:p>
    <w:p w14:paraId="1A2940D6" w14:textId="77777777" w:rsidR="005528E3" w:rsidRPr="00E54589" w:rsidRDefault="005528E3" w:rsidP="005528E3">
      <w:pPr>
        <w:pStyle w:val="Heading1"/>
      </w:pPr>
      <w:r w:rsidRPr="00E54589">
        <w:t>Document Control</w:t>
      </w:r>
    </w:p>
    <w:p w14:paraId="3BA92477" w14:textId="77777777" w:rsidR="005528E3" w:rsidRPr="008928FB" w:rsidRDefault="005528E3" w:rsidP="005528E3">
      <w:pPr>
        <w:pStyle w:val="-Normal1-"/>
      </w:pPr>
      <w:bookmarkStart w:id="3" w:name="Start"/>
      <w:bookmarkEnd w:id="3"/>
    </w:p>
    <w:tbl>
      <w:tblPr>
        <w:tblStyle w:val="DPCTable1"/>
        <w:tblpPr w:leftFromText="180" w:rightFromText="180" w:vertAnchor="text" w:horzAnchor="margin" w:tblpX="426" w:tblpY="-35"/>
        <w:tblW w:w="9497" w:type="dxa"/>
        <w:tblBorders>
          <w:top w:val="none" w:sz="0" w:space="0" w:color="auto"/>
          <w:bottom w:val="none" w:sz="0" w:space="0" w:color="auto"/>
          <w:insideH w:val="single" w:sz="2" w:space="0" w:color="FFFFFF" w:themeColor="background1"/>
          <w:insideV w:val="single" w:sz="2" w:space="0" w:color="FFFFFF" w:themeColor="background1"/>
        </w:tblBorders>
        <w:shd w:val="clear" w:color="auto" w:fill="F2F2F2" w:themeFill="background1" w:themeFillShade="F2"/>
        <w:tblLook w:val="04A0" w:firstRow="1" w:lastRow="0" w:firstColumn="1" w:lastColumn="0" w:noHBand="0" w:noVBand="1"/>
      </w:tblPr>
      <w:tblGrid>
        <w:gridCol w:w="3119"/>
        <w:gridCol w:w="6378"/>
      </w:tblGrid>
      <w:tr w:rsidR="005528E3" w14:paraId="5904BA3F" w14:textId="77777777" w:rsidTr="00AF3B53">
        <w:trPr>
          <w:cnfStyle w:val="100000000000" w:firstRow="1" w:lastRow="0" w:firstColumn="0" w:lastColumn="0" w:oddVBand="0" w:evenVBand="0" w:oddHBand="0" w:evenHBand="0" w:firstRowFirstColumn="0" w:firstRowLastColumn="0" w:lastRowFirstColumn="0" w:lastRowLastColumn="0"/>
          <w:trHeight w:val="340"/>
        </w:trPr>
        <w:tc>
          <w:tcPr>
            <w:tcW w:w="3119" w:type="dxa"/>
            <w:tcBorders>
              <w:top w:val="none" w:sz="0" w:space="0" w:color="auto"/>
              <w:left w:val="none" w:sz="0" w:space="0" w:color="auto"/>
              <w:bottom w:val="none" w:sz="0" w:space="0" w:color="auto"/>
              <w:right w:val="none" w:sz="0" w:space="0" w:color="auto"/>
            </w:tcBorders>
            <w:shd w:val="clear" w:color="auto" w:fill="B4DDFF"/>
            <w:vAlign w:val="center"/>
          </w:tcPr>
          <w:p w14:paraId="62E8B116" w14:textId="77777777" w:rsidR="005528E3" w:rsidRPr="007D7F5F" w:rsidRDefault="005528E3" w:rsidP="00AF3B53">
            <w:pPr>
              <w:pStyle w:val="TableText"/>
              <w:shd w:val="clear" w:color="auto" w:fill="B4DDFF"/>
              <w:spacing w:before="0" w:after="0"/>
              <w:rPr>
                <w:b w:val="0"/>
                <w:sz w:val="18"/>
              </w:rPr>
            </w:pPr>
            <w:r w:rsidRPr="007D7F5F">
              <w:rPr>
                <w:b w:val="0"/>
                <w:sz w:val="18"/>
              </w:rPr>
              <w:t>ID</w:t>
            </w:r>
          </w:p>
        </w:tc>
        <w:tc>
          <w:tcPr>
            <w:tcW w:w="6378" w:type="dxa"/>
            <w:tcBorders>
              <w:top w:val="none" w:sz="0" w:space="0" w:color="auto"/>
              <w:left w:val="none" w:sz="0" w:space="0" w:color="auto"/>
              <w:bottom w:val="none" w:sz="0" w:space="0" w:color="auto"/>
              <w:right w:val="none" w:sz="0" w:space="0" w:color="auto"/>
            </w:tcBorders>
            <w:shd w:val="clear" w:color="auto" w:fill="B4DDFF"/>
            <w:vAlign w:val="center"/>
          </w:tcPr>
          <w:p w14:paraId="13DE7A41" w14:textId="6E599ABD" w:rsidR="005528E3" w:rsidRPr="007D7F5F" w:rsidRDefault="00E36F66" w:rsidP="00AF3B53">
            <w:pPr>
              <w:pStyle w:val="TableText"/>
              <w:shd w:val="clear" w:color="auto" w:fill="B4DDFF"/>
              <w:spacing w:before="0" w:after="0"/>
              <w:rPr>
                <w:b w:val="0"/>
                <w:sz w:val="18"/>
              </w:rPr>
            </w:pPr>
            <w:r>
              <w:rPr>
                <w:b w:val="0"/>
                <w:sz w:val="18"/>
              </w:rPr>
              <w:t>DPC/G4.5</w:t>
            </w:r>
          </w:p>
        </w:tc>
      </w:tr>
      <w:tr w:rsidR="005528E3" w14:paraId="26770B20" w14:textId="77777777" w:rsidTr="00AF3B53">
        <w:trPr>
          <w:trHeight w:val="340"/>
        </w:trPr>
        <w:tc>
          <w:tcPr>
            <w:tcW w:w="3119" w:type="dxa"/>
            <w:shd w:val="clear" w:color="auto" w:fill="B4DDFF"/>
            <w:vAlign w:val="center"/>
          </w:tcPr>
          <w:p w14:paraId="2569EA4A" w14:textId="77777777" w:rsidR="005528E3" w:rsidRPr="008928FB" w:rsidRDefault="005528E3" w:rsidP="00AF3B53">
            <w:pPr>
              <w:pStyle w:val="TableText"/>
              <w:shd w:val="clear" w:color="auto" w:fill="B4DDFF"/>
              <w:spacing w:before="0" w:after="0"/>
              <w:rPr>
                <w:sz w:val="18"/>
              </w:rPr>
            </w:pPr>
            <w:r>
              <w:rPr>
                <w:sz w:val="18"/>
              </w:rPr>
              <w:t>Version</w:t>
            </w:r>
          </w:p>
        </w:tc>
        <w:tc>
          <w:tcPr>
            <w:tcW w:w="6378" w:type="dxa"/>
            <w:shd w:val="clear" w:color="auto" w:fill="B4DDFF"/>
            <w:vAlign w:val="center"/>
          </w:tcPr>
          <w:p w14:paraId="6B4DE5D5" w14:textId="77777777" w:rsidR="005528E3" w:rsidRPr="008928FB" w:rsidRDefault="005528E3" w:rsidP="00AF3B53">
            <w:pPr>
              <w:pStyle w:val="TableText"/>
              <w:shd w:val="clear" w:color="auto" w:fill="B4DDFF"/>
              <w:spacing w:before="0" w:after="0"/>
              <w:rPr>
                <w:sz w:val="18"/>
              </w:rPr>
            </w:pPr>
            <w:r>
              <w:rPr>
                <w:sz w:val="18"/>
              </w:rPr>
              <w:t>1.3</w:t>
            </w:r>
          </w:p>
        </w:tc>
      </w:tr>
      <w:tr w:rsidR="005528E3" w14:paraId="0BBC070D" w14:textId="77777777" w:rsidTr="00AF3B53">
        <w:trPr>
          <w:trHeight w:val="340"/>
        </w:trPr>
        <w:tc>
          <w:tcPr>
            <w:tcW w:w="3119" w:type="dxa"/>
            <w:shd w:val="clear" w:color="auto" w:fill="B4DDFF"/>
            <w:vAlign w:val="center"/>
          </w:tcPr>
          <w:p w14:paraId="3FF29015" w14:textId="77777777" w:rsidR="005528E3" w:rsidRPr="008928FB" w:rsidRDefault="005528E3" w:rsidP="00AF3B53">
            <w:pPr>
              <w:pStyle w:val="TableText"/>
              <w:shd w:val="clear" w:color="auto" w:fill="B4DDFF"/>
              <w:spacing w:before="0" w:after="0"/>
              <w:rPr>
                <w:sz w:val="18"/>
              </w:rPr>
            </w:pPr>
            <w:r>
              <w:rPr>
                <w:sz w:val="18"/>
              </w:rPr>
              <w:t>Classification/DLM</w:t>
            </w:r>
          </w:p>
        </w:tc>
        <w:tc>
          <w:tcPr>
            <w:tcW w:w="6378" w:type="dxa"/>
            <w:shd w:val="clear" w:color="auto" w:fill="B4DDFF"/>
            <w:vAlign w:val="center"/>
          </w:tcPr>
          <w:p w14:paraId="578E5E14" w14:textId="77777777" w:rsidR="005528E3" w:rsidRPr="008928FB" w:rsidRDefault="005528E3" w:rsidP="00AF3B53">
            <w:pPr>
              <w:pStyle w:val="TableText"/>
              <w:shd w:val="clear" w:color="auto" w:fill="B4DDFF"/>
              <w:spacing w:before="0" w:after="0"/>
              <w:rPr>
                <w:sz w:val="18"/>
              </w:rPr>
            </w:pPr>
            <w:r>
              <w:rPr>
                <w:sz w:val="18"/>
              </w:rPr>
              <w:t>Public I1-A1</w:t>
            </w:r>
          </w:p>
        </w:tc>
      </w:tr>
      <w:tr w:rsidR="005528E3" w14:paraId="5500849F" w14:textId="77777777" w:rsidTr="00AF3B53">
        <w:trPr>
          <w:trHeight w:val="340"/>
        </w:trPr>
        <w:tc>
          <w:tcPr>
            <w:tcW w:w="3119" w:type="dxa"/>
            <w:shd w:val="clear" w:color="auto" w:fill="B4DDFF"/>
            <w:vAlign w:val="center"/>
          </w:tcPr>
          <w:p w14:paraId="476732C6" w14:textId="77777777" w:rsidR="005528E3" w:rsidRPr="008928FB" w:rsidRDefault="005528E3" w:rsidP="00AF3B53">
            <w:pPr>
              <w:pStyle w:val="TableText"/>
              <w:shd w:val="clear" w:color="auto" w:fill="B4DDFF"/>
              <w:spacing w:before="0" w:after="0"/>
              <w:rPr>
                <w:sz w:val="18"/>
              </w:rPr>
            </w:pPr>
            <w:r>
              <w:rPr>
                <w:sz w:val="18"/>
              </w:rPr>
              <w:t>Compliance</w:t>
            </w:r>
          </w:p>
        </w:tc>
        <w:tc>
          <w:tcPr>
            <w:tcW w:w="6378" w:type="dxa"/>
            <w:shd w:val="clear" w:color="auto" w:fill="B4DDFF"/>
            <w:vAlign w:val="center"/>
          </w:tcPr>
          <w:p w14:paraId="5D13A07B" w14:textId="77777777" w:rsidR="005528E3" w:rsidRPr="008928FB" w:rsidRDefault="005528E3" w:rsidP="00AF3B53">
            <w:pPr>
              <w:pStyle w:val="TableText"/>
              <w:shd w:val="clear" w:color="auto" w:fill="B4DDFF"/>
              <w:spacing w:before="0" w:after="0"/>
              <w:rPr>
                <w:sz w:val="18"/>
              </w:rPr>
            </w:pPr>
            <w:r>
              <w:rPr>
                <w:sz w:val="18"/>
              </w:rPr>
              <w:t>Discretionary</w:t>
            </w:r>
          </w:p>
        </w:tc>
      </w:tr>
      <w:tr w:rsidR="005528E3" w14:paraId="14137242" w14:textId="77777777" w:rsidTr="00AF3B53">
        <w:trPr>
          <w:trHeight w:val="340"/>
        </w:trPr>
        <w:tc>
          <w:tcPr>
            <w:tcW w:w="3119" w:type="dxa"/>
            <w:shd w:val="clear" w:color="auto" w:fill="B4DDFF"/>
            <w:vAlign w:val="center"/>
          </w:tcPr>
          <w:p w14:paraId="0FEC9DDC" w14:textId="77777777" w:rsidR="005528E3" w:rsidRPr="008928FB" w:rsidRDefault="005528E3" w:rsidP="00AF3B53">
            <w:pPr>
              <w:pStyle w:val="TableText"/>
              <w:shd w:val="clear" w:color="auto" w:fill="B4DDFF"/>
              <w:spacing w:before="0" w:after="0"/>
              <w:rPr>
                <w:sz w:val="18"/>
              </w:rPr>
            </w:pPr>
            <w:r>
              <w:rPr>
                <w:sz w:val="18"/>
              </w:rPr>
              <w:t>Original authorisation date</w:t>
            </w:r>
          </w:p>
        </w:tc>
        <w:tc>
          <w:tcPr>
            <w:tcW w:w="6378" w:type="dxa"/>
            <w:shd w:val="clear" w:color="auto" w:fill="B4DDFF"/>
            <w:vAlign w:val="center"/>
          </w:tcPr>
          <w:p w14:paraId="0370A916" w14:textId="77777777" w:rsidR="005528E3" w:rsidRPr="008928FB" w:rsidRDefault="005528E3" w:rsidP="00AF3B53">
            <w:pPr>
              <w:pStyle w:val="TableText"/>
              <w:shd w:val="clear" w:color="auto" w:fill="B4DDFF"/>
              <w:spacing w:before="0" w:after="0"/>
              <w:rPr>
                <w:sz w:val="18"/>
              </w:rPr>
            </w:pPr>
            <w:r>
              <w:rPr>
                <w:sz w:val="18"/>
              </w:rPr>
              <w:t>January 2014</w:t>
            </w:r>
          </w:p>
        </w:tc>
      </w:tr>
      <w:tr w:rsidR="005528E3" w14:paraId="2ECD9741" w14:textId="77777777" w:rsidTr="00AF3B53">
        <w:trPr>
          <w:trHeight w:val="340"/>
        </w:trPr>
        <w:tc>
          <w:tcPr>
            <w:tcW w:w="3119" w:type="dxa"/>
            <w:shd w:val="clear" w:color="auto" w:fill="B4DDFF"/>
            <w:vAlign w:val="center"/>
          </w:tcPr>
          <w:p w14:paraId="49130978" w14:textId="77777777" w:rsidR="005528E3" w:rsidRPr="008928FB" w:rsidRDefault="005528E3" w:rsidP="00AF3B53">
            <w:pPr>
              <w:pStyle w:val="TableText"/>
              <w:shd w:val="clear" w:color="auto" w:fill="B4DDFF"/>
              <w:spacing w:before="0" w:after="0"/>
              <w:rPr>
                <w:sz w:val="18"/>
              </w:rPr>
            </w:pPr>
            <w:r>
              <w:rPr>
                <w:sz w:val="18"/>
              </w:rPr>
              <w:t>Last approval date</w:t>
            </w:r>
          </w:p>
        </w:tc>
        <w:tc>
          <w:tcPr>
            <w:tcW w:w="6378" w:type="dxa"/>
            <w:shd w:val="clear" w:color="auto" w:fill="B4DDFF"/>
            <w:vAlign w:val="center"/>
          </w:tcPr>
          <w:p w14:paraId="7A5F22F9" w14:textId="17748D9A" w:rsidR="005528E3" w:rsidRPr="008928FB" w:rsidRDefault="009F2ACF" w:rsidP="00AF3B53">
            <w:pPr>
              <w:pStyle w:val="TableText"/>
              <w:shd w:val="clear" w:color="auto" w:fill="B4DDFF"/>
              <w:spacing w:before="0" w:after="0"/>
              <w:rPr>
                <w:sz w:val="18"/>
              </w:rPr>
            </w:pPr>
            <w:r>
              <w:rPr>
                <w:sz w:val="18"/>
              </w:rPr>
              <w:t>February 2019</w:t>
            </w:r>
          </w:p>
        </w:tc>
      </w:tr>
      <w:tr w:rsidR="005528E3" w14:paraId="2C9B7463" w14:textId="77777777" w:rsidTr="00AF3B53">
        <w:trPr>
          <w:trHeight w:val="340"/>
        </w:trPr>
        <w:tc>
          <w:tcPr>
            <w:tcW w:w="3119" w:type="dxa"/>
            <w:shd w:val="clear" w:color="auto" w:fill="B4DDFF"/>
            <w:vAlign w:val="center"/>
          </w:tcPr>
          <w:p w14:paraId="20306890" w14:textId="77777777" w:rsidR="005528E3" w:rsidRPr="008928FB" w:rsidRDefault="005528E3" w:rsidP="00AF3B53">
            <w:pPr>
              <w:pStyle w:val="TableText"/>
              <w:shd w:val="clear" w:color="auto" w:fill="B4DDFF"/>
              <w:spacing w:before="0" w:after="0"/>
              <w:rPr>
                <w:sz w:val="18"/>
              </w:rPr>
            </w:pPr>
            <w:r>
              <w:rPr>
                <w:sz w:val="18"/>
              </w:rPr>
              <w:t>Next review date</w:t>
            </w:r>
          </w:p>
        </w:tc>
        <w:tc>
          <w:tcPr>
            <w:tcW w:w="6378" w:type="dxa"/>
            <w:shd w:val="clear" w:color="auto" w:fill="B4DDFF"/>
            <w:vAlign w:val="center"/>
          </w:tcPr>
          <w:p w14:paraId="7C282EE1" w14:textId="726B53B0" w:rsidR="005528E3" w:rsidRPr="008928FB" w:rsidRDefault="009F2ACF" w:rsidP="00AF3B53">
            <w:pPr>
              <w:pStyle w:val="TableText"/>
              <w:shd w:val="clear" w:color="auto" w:fill="B4DDFF"/>
              <w:spacing w:before="0" w:after="0"/>
              <w:rPr>
                <w:sz w:val="18"/>
              </w:rPr>
            </w:pPr>
            <w:r>
              <w:rPr>
                <w:sz w:val="18"/>
              </w:rPr>
              <w:t>February 2020</w:t>
            </w:r>
          </w:p>
        </w:tc>
      </w:tr>
    </w:tbl>
    <w:tbl>
      <w:tblPr>
        <w:tblStyle w:val="TableGrid"/>
        <w:tblW w:w="9494" w:type="dxa"/>
        <w:tblInd w:w="426" w:type="dxa"/>
        <w:tblBorders>
          <w:top w:val="single" w:sz="2" w:space="0" w:color="B4DDFF" w:themeColor="text2" w:themeTint="33"/>
          <w:left w:val="single" w:sz="2" w:space="0" w:color="B4DDFF" w:themeColor="text2" w:themeTint="33"/>
          <w:bottom w:val="single" w:sz="2" w:space="0" w:color="B4DDFF" w:themeColor="text2" w:themeTint="33"/>
          <w:right w:val="single" w:sz="2" w:space="0" w:color="B4DDFF" w:themeColor="text2" w:themeTint="33"/>
          <w:insideH w:val="none" w:sz="0" w:space="0" w:color="auto"/>
          <w:insideV w:val="none" w:sz="0" w:space="0" w:color="auto"/>
        </w:tblBorders>
        <w:tblLook w:val="04A0" w:firstRow="1" w:lastRow="0" w:firstColumn="1" w:lastColumn="0" w:noHBand="0" w:noVBand="1"/>
      </w:tblPr>
      <w:tblGrid>
        <w:gridCol w:w="9494"/>
      </w:tblGrid>
      <w:tr w:rsidR="005528E3" w14:paraId="63823E90" w14:textId="77777777" w:rsidTr="00AF3B53">
        <w:trPr>
          <w:trHeight w:val="454"/>
        </w:trPr>
        <w:tc>
          <w:tcPr>
            <w:tcW w:w="9494" w:type="dxa"/>
            <w:shd w:val="clear" w:color="auto" w:fill="B4DDFF"/>
            <w:vAlign w:val="center"/>
          </w:tcPr>
          <w:p w14:paraId="62CCBD2C" w14:textId="77777777" w:rsidR="005528E3" w:rsidRPr="007D7F5F" w:rsidRDefault="005528E3" w:rsidP="00AF3B53">
            <w:pPr>
              <w:pStyle w:val="-Normal1-"/>
              <w:shd w:val="clear" w:color="auto" w:fill="B4DDFF"/>
            </w:pPr>
            <w:r w:rsidRPr="00126C6F">
              <w:t>Licence</w:t>
            </w:r>
          </w:p>
        </w:tc>
      </w:tr>
      <w:tr w:rsidR="005528E3" w14:paraId="2069B164" w14:textId="77777777" w:rsidTr="00AF3B53">
        <w:trPr>
          <w:trHeight w:val="340"/>
        </w:trPr>
        <w:tc>
          <w:tcPr>
            <w:tcW w:w="9494" w:type="dxa"/>
            <w:vAlign w:val="center"/>
          </w:tcPr>
          <w:p w14:paraId="16A704A3" w14:textId="77777777" w:rsidR="005528E3" w:rsidRDefault="005528E3" w:rsidP="00AF3B53">
            <w:pPr>
              <w:pStyle w:val="-Normal1-"/>
            </w:pPr>
            <w:r w:rsidRPr="00684B9E">
              <w:rPr>
                <w:noProof/>
              </w:rPr>
              <w:drawing>
                <wp:anchor distT="0" distB="0" distL="114300" distR="114300" simplePos="0" relativeHeight="251659264" behindDoc="0" locked="0" layoutInCell="1" allowOverlap="1" wp14:anchorId="029C2088" wp14:editId="3A98B209">
                  <wp:simplePos x="0" y="0"/>
                  <wp:positionH relativeFrom="column">
                    <wp:posOffset>-674370</wp:posOffset>
                  </wp:positionH>
                  <wp:positionV relativeFrom="paragraph">
                    <wp:posOffset>133350</wp:posOffset>
                  </wp:positionV>
                  <wp:extent cx="838200" cy="294640"/>
                  <wp:effectExtent l="0" t="0" r="0" b="0"/>
                  <wp:wrapSquare wrapText="bothSides"/>
                  <wp:docPr id="15" name="Picture 3" descr="Creative Commons Attribution 2.5 Australia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Attribution 2.5 Australia License"/>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838200" cy="294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528E3" w14:paraId="1BE864F9" w14:textId="77777777" w:rsidTr="00AF3B53">
        <w:trPr>
          <w:trHeight w:val="1247"/>
        </w:trPr>
        <w:tc>
          <w:tcPr>
            <w:tcW w:w="9494" w:type="dxa"/>
            <w:vAlign w:val="center"/>
          </w:tcPr>
          <w:p w14:paraId="11C70A72" w14:textId="4136321F" w:rsidR="005528E3" w:rsidRPr="00126C6F" w:rsidRDefault="005528E3" w:rsidP="00AF3B53">
            <w:pPr>
              <w:pStyle w:val="-Normal1-"/>
            </w:pPr>
            <w:r w:rsidRPr="00126C6F">
              <w:t xml:space="preserve">With the exception of the Government of South Australia brand, logos and any images, this work is licensed under a </w:t>
            </w:r>
            <w:hyperlink r:id="rId27" w:history="1">
              <w:r w:rsidRPr="00256533">
                <w:rPr>
                  <w:color w:val="3366CC"/>
                  <w:u w:val="single"/>
                </w:rPr>
                <w:t>Creative Commons Attribution (CC BY) 4.0 Licence</w:t>
              </w:r>
            </w:hyperlink>
            <w:r w:rsidRPr="00126C6F">
              <w:t>. To attribute this material, cite Department of the Premier and Cabinet, Government of South Australia, 201</w:t>
            </w:r>
            <w:r w:rsidR="000A37CE">
              <w:t>9</w:t>
            </w:r>
            <w:r w:rsidRPr="00126C6F">
              <w:t>.</w:t>
            </w:r>
          </w:p>
        </w:tc>
      </w:tr>
      <w:bookmarkEnd w:id="1"/>
    </w:tbl>
    <w:p w14:paraId="3D7668B8" w14:textId="77777777" w:rsidR="005528E3" w:rsidRPr="00610206" w:rsidRDefault="005528E3" w:rsidP="005528E3">
      <w:pPr>
        <w:rPr>
          <w:rFonts w:cs="Arial"/>
        </w:rPr>
      </w:pPr>
    </w:p>
    <w:sectPr w:rsidR="005528E3" w:rsidRPr="00610206" w:rsidSect="00F32317">
      <w:footerReference w:type="default" r:id="rId28"/>
      <w:headerReference w:type="first" r:id="rId29"/>
      <w:footerReference w:type="first" r:id="rId30"/>
      <w:pgSz w:w="11900" w:h="16840"/>
      <w:pgMar w:top="1418" w:right="1127" w:bottom="426" w:left="993" w:header="0"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F39BE" w14:textId="77777777" w:rsidR="00755EF9" w:rsidRDefault="00755EF9" w:rsidP="00AF7F16">
      <w:r>
        <w:separator/>
      </w:r>
    </w:p>
  </w:endnote>
  <w:endnote w:type="continuationSeparator" w:id="0">
    <w:p w14:paraId="1926FC66" w14:textId="77777777" w:rsidR="00755EF9" w:rsidRDefault="00755EF9"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670"/>
    </w:tblGrid>
    <w:tr w:rsidR="00084360" w14:paraId="749F5369" w14:textId="77777777" w:rsidTr="00080651">
      <w:trPr>
        <w:trHeight w:val="290"/>
      </w:trPr>
      <w:tc>
        <w:tcPr>
          <w:tcW w:w="1702" w:type="dxa"/>
          <w:shd w:val="clear" w:color="auto" w:fill="004B88" w:themeFill="text2"/>
          <w:vAlign w:val="center"/>
        </w:tcPr>
        <w:p w14:paraId="283EF57B" w14:textId="77777777" w:rsidR="00084360" w:rsidRPr="008011DC" w:rsidRDefault="00084360" w:rsidP="00084360">
          <w:pPr>
            <w:pStyle w:val="Pagenumbers"/>
          </w:pPr>
          <w:r w:rsidRPr="008011DC">
            <w:t xml:space="preserve">Page </w:t>
          </w:r>
          <w:r w:rsidRPr="008011DC">
            <w:fldChar w:fldCharType="begin"/>
          </w:r>
          <w:r w:rsidRPr="008011DC">
            <w:instrText xml:space="preserve"> PAGE </w:instrText>
          </w:r>
          <w:r w:rsidRPr="008011DC">
            <w:fldChar w:fldCharType="separate"/>
          </w:r>
          <w:r w:rsidR="005079A5">
            <w:rPr>
              <w:noProof/>
            </w:rPr>
            <w:t>2</w:t>
          </w:r>
          <w:r w:rsidRPr="008011DC">
            <w:fldChar w:fldCharType="end"/>
          </w:r>
          <w:r w:rsidRPr="008011DC">
            <w:t xml:space="preserve"> of </w:t>
          </w:r>
          <w:r w:rsidR="00AD4171">
            <w:rPr>
              <w:noProof/>
            </w:rPr>
            <w:fldChar w:fldCharType="begin"/>
          </w:r>
          <w:r w:rsidR="00AD4171">
            <w:rPr>
              <w:noProof/>
            </w:rPr>
            <w:instrText xml:space="preserve"> NUMPAGES </w:instrText>
          </w:r>
          <w:r w:rsidR="00AD4171">
            <w:rPr>
              <w:noProof/>
            </w:rPr>
            <w:fldChar w:fldCharType="separate"/>
          </w:r>
          <w:r w:rsidR="005079A5">
            <w:rPr>
              <w:noProof/>
            </w:rPr>
            <w:t>2</w:t>
          </w:r>
          <w:r w:rsidR="00AD4171">
            <w:rPr>
              <w:noProof/>
            </w:rPr>
            <w:fldChar w:fldCharType="end"/>
          </w:r>
        </w:p>
      </w:tc>
      <w:tc>
        <w:tcPr>
          <w:tcW w:w="5670" w:type="dxa"/>
          <w:shd w:val="clear" w:color="auto" w:fill="004B88" w:themeFill="text2"/>
          <w:vAlign w:val="center"/>
        </w:tcPr>
        <w:p w14:paraId="125C290B" w14:textId="3058D723" w:rsidR="00084360" w:rsidRPr="008011DC" w:rsidRDefault="00F80422" w:rsidP="00084360">
          <w:pPr>
            <w:pStyle w:val="Pagenumbers"/>
          </w:pPr>
          <w:r>
            <w:t>Public-I1-A1</w:t>
          </w:r>
        </w:p>
      </w:tc>
    </w:tr>
  </w:tbl>
  <w:p w14:paraId="1F4FE57C" w14:textId="77777777" w:rsidR="003B5AC0" w:rsidRDefault="00084360" w:rsidP="00545EC0">
    <w:pPr>
      <w:pStyle w:val="Footer"/>
      <w:tabs>
        <w:tab w:val="clear" w:pos="4320"/>
        <w:tab w:val="clear" w:pos="8640"/>
      </w:tabs>
      <w:ind w:left="-993" w:right="-1127"/>
    </w:pPr>
    <w:r>
      <w:rPr>
        <w:noProof/>
      </w:rPr>
      <w:drawing>
        <wp:anchor distT="0" distB="0" distL="114300" distR="114300" simplePos="0" relativeHeight="251659264" behindDoc="1" locked="0" layoutInCell="1" allowOverlap="1" wp14:anchorId="54325454" wp14:editId="29D9F422">
          <wp:simplePos x="0" y="0"/>
          <wp:positionH relativeFrom="column">
            <wp:posOffset>-630767</wp:posOffset>
          </wp:positionH>
          <wp:positionV relativeFrom="paragraph">
            <wp:posOffset>-465667</wp:posOffset>
          </wp:positionV>
          <wp:extent cx="7548033" cy="921508"/>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ooter-DPC ONLY.png"/>
                  <pic:cNvPicPr/>
                </pic:nvPicPr>
                <pic:blipFill>
                  <a:blip r:embed="rId1"/>
                  <a:stretch>
                    <a:fillRect/>
                  </a:stretch>
                </pic:blipFill>
                <pic:spPr>
                  <a:xfrm>
                    <a:off x="0" y="0"/>
                    <a:ext cx="7548033" cy="92150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072"/>
    </w:tblGrid>
    <w:tr w:rsidR="00084360" w:rsidRPr="00084360" w14:paraId="049811CC" w14:textId="77777777" w:rsidTr="00080651">
      <w:trPr>
        <w:trHeight w:val="290"/>
      </w:trPr>
      <w:tc>
        <w:tcPr>
          <w:tcW w:w="1702" w:type="dxa"/>
          <w:shd w:val="clear" w:color="auto" w:fill="004B88" w:themeFill="text2"/>
          <w:vAlign w:val="center"/>
        </w:tcPr>
        <w:p w14:paraId="4333DB7A" w14:textId="77777777" w:rsidR="00084360" w:rsidRPr="00084360" w:rsidRDefault="00084360" w:rsidP="00084360">
          <w:pPr>
            <w:spacing w:after="0" w:line="240" w:lineRule="auto"/>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sidR="005079A5">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sidR="005079A5">
            <w:rPr>
              <w:noProof/>
              <w:sz w:val="18"/>
              <w:szCs w:val="18"/>
            </w:rPr>
            <w:t>2</w:t>
          </w:r>
          <w:r w:rsidRPr="00084360">
            <w:rPr>
              <w:sz w:val="18"/>
              <w:szCs w:val="18"/>
            </w:rPr>
            <w:fldChar w:fldCharType="end"/>
          </w:r>
        </w:p>
      </w:tc>
      <w:tc>
        <w:tcPr>
          <w:tcW w:w="9072" w:type="dxa"/>
          <w:shd w:val="clear" w:color="auto" w:fill="004B88" w:themeFill="text2"/>
          <w:vAlign w:val="center"/>
        </w:tcPr>
        <w:p w14:paraId="3777A8EB" w14:textId="7A5DC71F" w:rsidR="00084360" w:rsidRPr="00084360" w:rsidRDefault="00F80422" w:rsidP="00084360">
          <w:pPr>
            <w:spacing w:after="0" w:line="240" w:lineRule="auto"/>
            <w:rPr>
              <w:sz w:val="18"/>
              <w:szCs w:val="18"/>
            </w:rPr>
          </w:pPr>
          <w:r>
            <w:rPr>
              <w:sz w:val="18"/>
              <w:szCs w:val="18"/>
            </w:rPr>
            <w:t>Public-I1-A1</w:t>
          </w:r>
        </w:p>
      </w:tc>
    </w:tr>
  </w:tbl>
  <w:p w14:paraId="58EF6B17" w14:textId="77777777" w:rsidR="003B5AC0" w:rsidRDefault="003B5AC0" w:rsidP="00AC730E">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3E3B4" w14:textId="77777777" w:rsidR="00755EF9" w:rsidRDefault="00755EF9" w:rsidP="00AF7F16">
      <w:r>
        <w:separator/>
      </w:r>
    </w:p>
  </w:footnote>
  <w:footnote w:type="continuationSeparator" w:id="0">
    <w:p w14:paraId="059567D2" w14:textId="77777777" w:rsidR="00755EF9" w:rsidRDefault="00755EF9"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FC93" w14:textId="77777777" w:rsidR="003B5AC0" w:rsidRDefault="00545EC0" w:rsidP="00545EC0">
    <w:pPr>
      <w:pStyle w:val="Header"/>
      <w:tabs>
        <w:tab w:val="clear" w:pos="8640"/>
      </w:tabs>
      <w:ind w:left="-993"/>
    </w:pPr>
    <w:r>
      <w:rPr>
        <w:noProof/>
        <w:lang w:val="en-US"/>
      </w:rPr>
      <w:drawing>
        <wp:inline distT="0" distB="0" distL="0" distR="0" wp14:anchorId="2977791F" wp14:editId="676E59A6">
          <wp:extent cx="7538678" cy="1383996"/>
          <wp:effectExtent l="0" t="0" r="5715" b="698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stretch>
                    <a:fillRect/>
                  </a:stretch>
                </pic:blipFill>
                <pic:spPr>
                  <a:xfrm>
                    <a:off x="0" y="0"/>
                    <a:ext cx="7538678" cy="13839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AA31BA"/>
    <w:multiLevelType w:val="hybridMultilevel"/>
    <w:tmpl w:val="AE6E32B0"/>
    <w:lvl w:ilvl="0" w:tplc="D83E4DDC">
      <w:start w:val="1"/>
      <w:numFmt w:val="bullet"/>
      <w:pStyle w:val="ListParagraph"/>
      <w:lvlText w:val=""/>
      <w:lvlJc w:val="left"/>
      <w:pPr>
        <w:ind w:left="9716" w:hanging="360"/>
      </w:pPr>
      <w:rPr>
        <w:rFonts w:ascii="Symbol" w:hAnsi="Symbol" w:hint="default"/>
      </w:rPr>
    </w:lvl>
    <w:lvl w:ilvl="1" w:tplc="0C090003" w:tentative="1">
      <w:start w:val="1"/>
      <w:numFmt w:val="bullet"/>
      <w:lvlText w:val="o"/>
      <w:lvlJc w:val="left"/>
      <w:pPr>
        <w:ind w:left="10436" w:hanging="360"/>
      </w:pPr>
      <w:rPr>
        <w:rFonts w:ascii="Courier New" w:hAnsi="Courier New" w:cs="Courier New" w:hint="default"/>
      </w:rPr>
    </w:lvl>
    <w:lvl w:ilvl="2" w:tplc="0C090005" w:tentative="1">
      <w:start w:val="1"/>
      <w:numFmt w:val="bullet"/>
      <w:lvlText w:val=""/>
      <w:lvlJc w:val="left"/>
      <w:pPr>
        <w:ind w:left="11156" w:hanging="360"/>
      </w:pPr>
      <w:rPr>
        <w:rFonts w:ascii="Wingdings" w:hAnsi="Wingdings" w:hint="default"/>
      </w:rPr>
    </w:lvl>
    <w:lvl w:ilvl="3" w:tplc="0C090001" w:tentative="1">
      <w:start w:val="1"/>
      <w:numFmt w:val="bullet"/>
      <w:lvlText w:val=""/>
      <w:lvlJc w:val="left"/>
      <w:pPr>
        <w:ind w:left="11876" w:hanging="360"/>
      </w:pPr>
      <w:rPr>
        <w:rFonts w:ascii="Symbol" w:hAnsi="Symbol" w:hint="default"/>
      </w:rPr>
    </w:lvl>
    <w:lvl w:ilvl="4" w:tplc="0C090003" w:tentative="1">
      <w:start w:val="1"/>
      <w:numFmt w:val="bullet"/>
      <w:lvlText w:val="o"/>
      <w:lvlJc w:val="left"/>
      <w:pPr>
        <w:ind w:left="12596" w:hanging="360"/>
      </w:pPr>
      <w:rPr>
        <w:rFonts w:ascii="Courier New" w:hAnsi="Courier New" w:cs="Courier New" w:hint="default"/>
      </w:rPr>
    </w:lvl>
    <w:lvl w:ilvl="5" w:tplc="0C090005" w:tentative="1">
      <w:start w:val="1"/>
      <w:numFmt w:val="bullet"/>
      <w:lvlText w:val=""/>
      <w:lvlJc w:val="left"/>
      <w:pPr>
        <w:ind w:left="13316" w:hanging="360"/>
      </w:pPr>
      <w:rPr>
        <w:rFonts w:ascii="Wingdings" w:hAnsi="Wingdings" w:hint="default"/>
      </w:rPr>
    </w:lvl>
    <w:lvl w:ilvl="6" w:tplc="0C090001" w:tentative="1">
      <w:start w:val="1"/>
      <w:numFmt w:val="bullet"/>
      <w:lvlText w:val=""/>
      <w:lvlJc w:val="left"/>
      <w:pPr>
        <w:ind w:left="14036" w:hanging="360"/>
      </w:pPr>
      <w:rPr>
        <w:rFonts w:ascii="Symbol" w:hAnsi="Symbol" w:hint="default"/>
      </w:rPr>
    </w:lvl>
    <w:lvl w:ilvl="7" w:tplc="0C090003" w:tentative="1">
      <w:start w:val="1"/>
      <w:numFmt w:val="bullet"/>
      <w:lvlText w:val="o"/>
      <w:lvlJc w:val="left"/>
      <w:pPr>
        <w:ind w:left="14756" w:hanging="360"/>
      </w:pPr>
      <w:rPr>
        <w:rFonts w:ascii="Courier New" w:hAnsi="Courier New" w:cs="Courier New" w:hint="default"/>
      </w:rPr>
    </w:lvl>
    <w:lvl w:ilvl="8" w:tplc="0C090005" w:tentative="1">
      <w:start w:val="1"/>
      <w:numFmt w:val="bullet"/>
      <w:lvlText w:val=""/>
      <w:lvlJc w:val="left"/>
      <w:pPr>
        <w:ind w:left="15476" w:hanging="360"/>
      </w:pPr>
      <w:rPr>
        <w:rFonts w:ascii="Wingdings" w:hAnsi="Wingdings" w:hint="default"/>
      </w:rPr>
    </w:lvl>
  </w:abstractNum>
  <w:abstractNum w:abstractNumId="11" w15:restartNumberingAfterBreak="0">
    <w:nsid w:val="4CC61C31"/>
    <w:multiLevelType w:val="hybridMultilevel"/>
    <w:tmpl w:val="77BA8102"/>
    <w:lvl w:ilvl="0" w:tplc="005AD33E">
      <w:start w:val="1"/>
      <w:numFmt w:val="bullet"/>
      <w:pStyle w:val="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3"/>
  </w:num>
  <w:num w:numId="2">
    <w:abstractNumId w:val="10"/>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5F"/>
    <w:rsid w:val="00025EA1"/>
    <w:rsid w:val="00030D16"/>
    <w:rsid w:val="00074592"/>
    <w:rsid w:val="00084360"/>
    <w:rsid w:val="000A37CE"/>
    <w:rsid w:val="000A7301"/>
    <w:rsid w:val="000B7447"/>
    <w:rsid w:val="000F4860"/>
    <w:rsid w:val="001043B7"/>
    <w:rsid w:val="001135E1"/>
    <w:rsid w:val="00143C32"/>
    <w:rsid w:val="0017021E"/>
    <w:rsid w:val="00172576"/>
    <w:rsid w:val="001A1918"/>
    <w:rsid w:val="001A46FD"/>
    <w:rsid w:val="001C67E9"/>
    <w:rsid w:val="001D5D67"/>
    <w:rsid w:val="001E0EA8"/>
    <w:rsid w:val="00212870"/>
    <w:rsid w:val="00212945"/>
    <w:rsid w:val="00251607"/>
    <w:rsid w:val="0026074C"/>
    <w:rsid w:val="00284B34"/>
    <w:rsid w:val="00285524"/>
    <w:rsid w:val="00291DD0"/>
    <w:rsid w:val="002A3288"/>
    <w:rsid w:val="002D60F4"/>
    <w:rsid w:val="002E0A93"/>
    <w:rsid w:val="002F166C"/>
    <w:rsid w:val="002F6E4E"/>
    <w:rsid w:val="0030639A"/>
    <w:rsid w:val="0031595F"/>
    <w:rsid w:val="003233C4"/>
    <w:rsid w:val="00324804"/>
    <w:rsid w:val="00324C35"/>
    <w:rsid w:val="00336C9F"/>
    <w:rsid w:val="00336DE8"/>
    <w:rsid w:val="00340461"/>
    <w:rsid w:val="00397BB1"/>
    <w:rsid w:val="003B5AC0"/>
    <w:rsid w:val="003E0EC1"/>
    <w:rsid w:val="003F2DFB"/>
    <w:rsid w:val="00412E2D"/>
    <w:rsid w:val="00417C99"/>
    <w:rsid w:val="00450A47"/>
    <w:rsid w:val="00462497"/>
    <w:rsid w:val="004669FB"/>
    <w:rsid w:val="00477C43"/>
    <w:rsid w:val="004D5F40"/>
    <w:rsid w:val="004F23B4"/>
    <w:rsid w:val="005079A5"/>
    <w:rsid w:val="00537998"/>
    <w:rsid w:val="00545EC0"/>
    <w:rsid w:val="005528E3"/>
    <w:rsid w:val="00575358"/>
    <w:rsid w:val="00577ED6"/>
    <w:rsid w:val="00585FD0"/>
    <w:rsid w:val="0059742B"/>
    <w:rsid w:val="005B045E"/>
    <w:rsid w:val="005F2F62"/>
    <w:rsid w:val="005F3700"/>
    <w:rsid w:val="00621676"/>
    <w:rsid w:val="00634963"/>
    <w:rsid w:val="006446E4"/>
    <w:rsid w:val="00647083"/>
    <w:rsid w:val="0065458F"/>
    <w:rsid w:val="00656BB5"/>
    <w:rsid w:val="00661EB5"/>
    <w:rsid w:val="00663AB2"/>
    <w:rsid w:val="00670778"/>
    <w:rsid w:val="006903ED"/>
    <w:rsid w:val="006A1C31"/>
    <w:rsid w:val="006C0CCF"/>
    <w:rsid w:val="006C5662"/>
    <w:rsid w:val="006D3A4C"/>
    <w:rsid w:val="0072288E"/>
    <w:rsid w:val="00724E9F"/>
    <w:rsid w:val="00747C07"/>
    <w:rsid w:val="00750584"/>
    <w:rsid w:val="00752F55"/>
    <w:rsid w:val="00755EF9"/>
    <w:rsid w:val="00780AB8"/>
    <w:rsid w:val="00781A1E"/>
    <w:rsid w:val="00787875"/>
    <w:rsid w:val="007A1000"/>
    <w:rsid w:val="007C3140"/>
    <w:rsid w:val="007D11E6"/>
    <w:rsid w:val="007E0FBE"/>
    <w:rsid w:val="007F3695"/>
    <w:rsid w:val="007F469B"/>
    <w:rsid w:val="008005B5"/>
    <w:rsid w:val="00812B46"/>
    <w:rsid w:val="0084407A"/>
    <w:rsid w:val="0084633D"/>
    <w:rsid w:val="0085065A"/>
    <w:rsid w:val="008915D1"/>
    <w:rsid w:val="008A18A5"/>
    <w:rsid w:val="008A5B3A"/>
    <w:rsid w:val="008A6C7C"/>
    <w:rsid w:val="008F226D"/>
    <w:rsid w:val="008F7591"/>
    <w:rsid w:val="00933A1D"/>
    <w:rsid w:val="00937A73"/>
    <w:rsid w:val="00981627"/>
    <w:rsid w:val="00996376"/>
    <w:rsid w:val="00997F44"/>
    <w:rsid w:val="009D7060"/>
    <w:rsid w:val="009D7D9A"/>
    <w:rsid w:val="009E32A5"/>
    <w:rsid w:val="009F2ACF"/>
    <w:rsid w:val="00A15919"/>
    <w:rsid w:val="00A5740B"/>
    <w:rsid w:val="00A86F6C"/>
    <w:rsid w:val="00AA11EE"/>
    <w:rsid w:val="00AA6103"/>
    <w:rsid w:val="00AC2019"/>
    <w:rsid w:val="00AC724C"/>
    <w:rsid w:val="00AC730E"/>
    <w:rsid w:val="00AD26EE"/>
    <w:rsid w:val="00AD4171"/>
    <w:rsid w:val="00AE73F3"/>
    <w:rsid w:val="00AF7F16"/>
    <w:rsid w:val="00B00277"/>
    <w:rsid w:val="00B33A04"/>
    <w:rsid w:val="00BE1653"/>
    <w:rsid w:val="00C850E4"/>
    <w:rsid w:val="00CA03FB"/>
    <w:rsid w:val="00CD4126"/>
    <w:rsid w:val="00CF0B15"/>
    <w:rsid w:val="00D11EDC"/>
    <w:rsid w:val="00D12D6C"/>
    <w:rsid w:val="00D542FC"/>
    <w:rsid w:val="00D570B7"/>
    <w:rsid w:val="00D64278"/>
    <w:rsid w:val="00D70FFA"/>
    <w:rsid w:val="00D76CAD"/>
    <w:rsid w:val="00D83B28"/>
    <w:rsid w:val="00D95C4B"/>
    <w:rsid w:val="00DB073B"/>
    <w:rsid w:val="00DD1AC8"/>
    <w:rsid w:val="00DD358E"/>
    <w:rsid w:val="00E101C5"/>
    <w:rsid w:val="00E20B9D"/>
    <w:rsid w:val="00E20E1E"/>
    <w:rsid w:val="00E2182E"/>
    <w:rsid w:val="00E36F66"/>
    <w:rsid w:val="00E401AC"/>
    <w:rsid w:val="00E45F67"/>
    <w:rsid w:val="00E5702C"/>
    <w:rsid w:val="00E61F11"/>
    <w:rsid w:val="00E72A73"/>
    <w:rsid w:val="00E83FBC"/>
    <w:rsid w:val="00EC688D"/>
    <w:rsid w:val="00F20D57"/>
    <w:rsid w:val="00F27EC5"/>
    <w:rsid w:val="00F32317"/>
    <w:rsid w:val="00F60D07"/>
    <w:rsid w:val="00F80422"/>
    <w:rsid w:val="00F83567"/>
    <w:rsid w:val="00F87A29"/>
    <w:rsid w:val="00F97D5A"/>
    <w:rsid w:val="00FB577D"/>
    <w:rsid w:val="00FB5CA4"/>
    <w:rsid w:val="00FD470E"/>
    <w:rsid w:val="00FE4F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992E3E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8"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F23B4"/>
    <w:pPr>
      <w:spacing w:after="200" w:line="280" w:lineRule="exact"/>
    </w:pPr>
  </w:style>
  <w:style w:type="paragraph" w:styleId="Heading1">
    <w:name w:val="heading 1"/>
    <w:link w:val="Heading1Char"/>
    <w:autoRedefine/>
    <w:qFormat/>
    <w:rsid w:val="00340461"/>
    <w:pPr>
      <w:spacing w:before="32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nhideWhenUsed/>
    <w:qFormat/>
    <w:rsid w:val="00340461"/>
    <w:pPr>
      <w:keepNext/>
      <w:keepLines/>
      <w:spacing w:before="3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461"/>
    <w:rPr>
      <w:rFonts w:eastAsia="Times New Roman" w:cs="Times New Roman"/>
      <w:b/>
      <w:bCs/>
      <w:noProof/>
      <w:sz w:val="28"/>
    </w:rPr>
  </w:style>
  <w:style w:type="paragraph" w:customStyle="1" w:styleId="IntroParagraph">
    <w:name w:val="Intro Paragraph"/>
    <w:link w:val="IntroParagraphChar"/>
    <w:autoRedefine/>
    <w:qFormat/>
    <w:rsid w:val="00DB073B"/>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qFormat/>
    <w:rsid w:val="00F32317"/>
    <w:pPr>
      <w:spacing w:before="200" w:after="200" w:line="280" w:lineRule="exact"/>
      <w:ind w:right="34"/>
    </w:pPr>
    <w:rPr>
      <w:rFonts w:eastAsia="Times New Roman" w:cs="Times New Roman"/>
      <w:color w:val="000000" w:themeColor="text1"/>
      <w:szCs w:val="20"/>
      <w:lang w:eastAsia="en-AU"/>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E101C5"/>
    <w:pPr>
      <w:spacing w:before="240" w:after="120"/>
    </w:pPr>
    <w:rPr>
      <w:rFonts w:eastAsiaTheme="majorEastAsia" w:cs="Times New Roman"/>
      <w:b/>
      <w:bCs/>
      <w:color w:val="595959" w:themeColor="text1" w:themeTint="A6"/>
      <w:sz w:val="32"/>
      <w:szCs w:val="30"/>
    </w:rPr>
  </w:style>
  <w:style w:type="character" w:customStyle="1" w:styleId="IntroParagraphChar">
    <w:name w:val="Intro Paragraph Char"/>
    <w:basedOn w:val="DefaultParagraphFont"/>
    <w:link w:val="IntroParagraph"/>
    <w:rsid w:val="00DB073B"/>
    <w:rPr>
      <w:rFonts w:eastAsia="Times New Roman" w:cs="Times New Roman"/>
      <w:color w:val="7F7F7F" w:themeColor="text1" w:themeTint="80"/>
      <w:sz w:val="32"/>
      <w:szCs w:val="30"/>
    </w:rPr>
  </w:style>
  <w:style w:type="character" w:styleId="Hyperlink">
    <w:name w:val="Hyperlink"/>
    <w:uiPriority w:val="99"/>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59"/>
    <w:rsid w:val="0041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340461"/>
    <w:rPr>
      <w:rFonts w:eastAsiaTheme="majorEastAsia" w:cstheme="majorBidi"/>
      <w:b/>
      <w:color w:val="000000" w:themeColor="text1"/>
      <w:szCs w:val="26"/>
    </w:rPr>
  </w:style>
  <w:style w:type="paragraph" w:styleId="Title">
    <w:name w:val="Title"/>
    <w:basedOn w:val="Normal"/>
    <w:next w:val="Normal"/>
    <w:link w:val="TitleChar"/>
    <w:autoRedefine/>
    <w:qFormat/>
    <w:rsid w:val="00F83567"/>
    <w:pPr>
      <w:spacing w:before="360" w:after="360" w:line="240" w:lineRule="auto"/>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AA6103"/>
    <w:rPr>
      <w:rFonts w:ascii="Arial" w:eastAsiaTheme="majorEastAsia" w:hAnsi="Arial"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E36F66"/>
    <w:pPr>
      <w:numPr>
        <w:numId w:val="2"/>
      </w:numPr>
      <w:spacing w:before="120" w:after="120" w:line="240" w:lineRule="auto"/>
      <w:ind w:left="714" w:hanging="357"/>
    </w:pPr>
    <w:rPr>
      <w:u w:val="single"/>
    </w:r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aliases w:val="DPC Grid Table"/>
    <w:basedOn w:val="TableNormal"/>
    <w:uiPriority w:val="99"/>
    <w:rsid w:val="00417C99"/>
    <w:pPr>
      <w:spacing w:before="80" w:after="80" w:line="280" w:lineRule="exact"/>
    </w:pPr>
    <w:tblPr>
      <w:tblStyleRowBandSize w:val="1"/>
      <w:tblStyleColBandSize w:val="1"/>
      <w:tblBorders>
        <w:top w:val="single" w:sz="12" w:space="0" w:color="auto"/>
        <w:bottom w:val="single" w:sz="6" w:space="0" w:color="auto"/>
        <w:insideH w:val="single" w:sz="6" w:space="0" w:color="BFBFBF" w:themeColor="background1" w:themeShade="BF"/>
        <w:insideV w:val="single" w:sz="6" w:space="0" w:color="BFBFBF" w:themeColor="background1" w:themeShade="BF"/>
      </w:tblBorders>
    </w:tblPr>
    <w:tblStylePr w:type="firstRow">
      <w:rPr>
        <w:rFonts w:ascii="Arial" w:hAnsi="Arial"/>
        <w:b/>
        <w:bCs/>
        <w:sz w:val="22"/>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qFormat/>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8"/>
    <w:unhideWhenUsed/>
    <w:rsid w:val="00AD26EE"/>
    <w:pPr>
      <w:spacing w:after="100"/>
    </w:pPr>
    <w:rPr>
      <w:b/>
    </w:rPr>
  </w:style>
  <w:style w:type="paragraph" w:styleId="TOC2">
    <w:name w:val="toc 2"/>
    <w:basedOn w:val="Normal"/>
    <w:next w:val="Normal"/>
    <w:autoRedefine/>
    <w:uiPriority w:val="38"/>
    <w:unhideWhenUsed/>
    <w:rsid w:val="00E45F67"/>
    <w:pPr>
      <w:spacing w:after="100"/>
      <w:ind w:left="220"/>
    </w:pPr>
  </w:style>
  <w:style w:type="paragraph" w:customStyle="1" w:styleId="TOCTitle">
    <w:name w:val="TOC Title"/>
    <w:basedOn w:val="TOC1"/>
    <w:link w:val="TOCTitleChar"/>
    <w:qFormat/>
    <w:rsid w:val="00933A1D"/>
    <w:pPr>
      <w:tabs>
        <w:tab w:val="right" w:leader="dot" w:pos="9629"/>
      </w:tabs>
    </w:pPr>
    <w:rPr>
      <w:b w:val="0"/>
      <w:noProof/>
      <w:sz w:val="28"/>
    </w:rPr>
  </w:style>
  <w:style w:type="paragraph" w:customStyle="1" w:styleId="Bold">
    <w:name w:val="Bold"/>
    <w:basedOn w:val="TOC1"/>
    <w:link w:val="BoldChar"/>
    <w:autoRedefine/>
    <w:qFormat/>
    <w:rsid w:val="00AD26EE"/>
    <w:pPr>
      <w:tabs>
        <w:tab w:val="right" w:leader="dot" w:pos="9629"/>
      </w:tabs>
    </w:pPr>
    <w:rPr>
      <w:noProof/>
      <w:sz w:val="28"/>
    </w:rPr>
  </w:style>
  <w:style w:type="character" w:customStyle="1" w:styleId="TOC1Char">
    <w:name w:val="TOC 1 Char"/>
    <w:basedOn w:val="DefaultParagraphFont"/>
    <w:link w:val="TOC1"/>
    <w:uiPriority w:val="38"/>
    <w:rsid w:val="00663AB2"/>
    <w:rPr>
      <w:b/>
    </w:rPr>
  </w:style>
  <w:style w:type="character" w:customStyle="1" w:styleId="TOCTitleChar">
    <w:name w:val="TOC Title Char"/>
    <w:basedOn w:val="TOC1Char"/>
    <w:link w:val="TOCTitle"/>
    <w:rsid w:val="00933A1D"/>
    <w:rPr>
      <w:rFonts w:ascii="Arial" w:eastAsia="Times New Roman" w:hAnsi="Arial" w:cs="Times New Roman"/>
      <w:b w:val="0"/>
      <w:noProof/>
      <w:sz w:val="28"/>
    </w:rPr>
  </w:style>
  <w:style w:type="character" w:customStyle="1" w:styleId="BoldChar">
    <w:name w:val="Bold Char"/>
    <w:basedOn w:val="TOC1Char"/>
    <w:link w:val="Bold"/>
    <w:rsid w:val="00AD26EE"/>
    <w:rPr>
      <w:rFonts w:ascii="Arial" w:hAnsi="Arial"/>
      <w:b/>
      <w:noProof/>
      <w:sz w:val="28"/>
    </w:rPr>
  </w:style>
  <w:style w:type="paragraph" w:customStyle="1" w:styleId="TOCHeading1">
    <w:name w:val="TOC Heading 1"/>
    <w:basedOn w:val="TOC1"/>
    <w:link w:val="TOCHeading1Char"/>
    <w:qFormat/>
    <w:rsid w:val="00933A1D"/>
    <w:pPr>
      <w:tabs>
        <w:tab w:val="right" w:leader="dot" w:pos="9770"/>
      </w:tabs>
    </w:pPr>
    <w:rPr>
      <w:b w:val="0"/>
      <w:noProof/>
    </w:rPr>
  </w:style>
  <w:style w:type="paragraph" w:customStyle="1" w:styleId="TOCHeading2">
    <w:name w:val="TOC Heading 2"/>
    <w:basedOn w:val="TOC1"/>
    <w:link w:val="TOCHeading2Char"/>
    <w:qFormat/>
    <w:rsid w:val="00933A1D"/>
    <w:pPr>
      <w:tabs>
        <w:tab w:val="right" w:leader="dot" w:pos="9770"/>
      </w:tabs>
    </w:pPr>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5079A5"/>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5079A5"/>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8005B5"/>
    <w:rPr>
      <w:i/>
      <w:iCs/>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customStyle="1" w:styleId="TableGrid1">
    <w:name w:val="Table Grid1"/>
    <w:basedOn w:val="TableNormal"/>
    <w:next w:val="TableGrid"/>
    <w:uiPriority w:val="59"/>
    <w:rsid w:val="009D7D9A"/>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DPCVerticalTable">
    <w:name w:val="DPC Vertical Table"/>
    <w:basedOn w:val="TableNormal"/>
    <w:uiPriority w:val="99"/>
    <w:rsid w:val="00143C32"/>
    <w:pPr>
      <w:spacing w:before="120" w:after="120"/>
    </w:pPr>
    <w:tblPr>
      <w:tblBorders>
        <w:top w:val="single" w:sz="4" w:space="0" w:color="auto"/>
        <w:bottom w:val="single" w:sz="6" w:space="0" w:color="auto"/>
        <w:insideV w:val="single" w:sz="6" w:space="0" w:color="BFBFBF" w:themeColor="background1" w:themeShade="BF"/>
      </w:tblBorders>
    </w:tblPr>
    <w:tcPr>
      <w:shd w:val="clear" w:color="auto" w:fill="auto"/>
    </w:tc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tblStylePr w:type="firstCol">
      <w:rPr>
        <w:rFonts w:ascii="Arial" w:hAnsi="Arial"/>
        <w:b/>
        <w:sz w:val="22"/>
      </w:r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417C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PCTable2">
    <w:name w:val="DPC Table 2"/>
    <w:basedOn w:val="TableTheme"/>
    <w:uiPriority w:val="99"/>
    <w:rsid w:val="00084360"/>
    <w:pPr>
      <w:spacing w:before="80" w:after="80" w:line="240" w:lineRule="auto"/>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table" w:customStyle="1" w:styleId="DPCTable1">
    <w:name w:val="DPC Table 1"/>
    <w:basedOn w:val="TableNormal"/>
    <w:uiPriority w:val="99"/>
    <w:rsid w:val="00084360"/>
    <w:pPr>
      <w:spacing w:before="80" w:after="80"/>
    </w:p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paragraph" w:customStyle="1" w:styleId="ContactsBlock">
    <w:name w:val="Contacts Block"/>
    <w:basedOn w:val="Normal"/>
    <w:link w:val="ContactsBlockChar"/>
    <w:qFormat/>
    <w:rsid w:val="00084360"/>
    <w:pPr>
      <w:spacing w:after="60" w:line="240" w:lineRule="auto"/>
    </w:pPr>
    <w:rPr>
      <w:rFonts w:eastAsia="MS Mincho" w:cs="Times New Roman"/>
      <w:sz w:val="20"/>
      <w:szCs w:val="20"/>
    </w:rPr>
  </w:style>
  <w:style w:type="character" w:customStyle="1" w:styleId="ContactsBlockChar">
    <w:name w:val="Contacts Block Char"/>
    <w:basedOn w:val="DefaultParagraphFont"/>
    <w:link w:val="ContactsBlock"/>
    <w:rsid w:val="00084360"/>
    <w:rPr>
      <w:rFonts w:eastAsia="MS Mincho" w:cs="Times New Roman"/>
      <w:sz w:val="20"/>
      <w:szCs w:val="20"/>
    </w:rPr>
  </w:style>
  <w:style w:type="paragraph" w:customStyle="1" w:styleId="TableTitle">
    <w:name w:val="Table Title"/>
    <w:link w:val="TableTitleChar"/>
    <w:qFormat/>
    <w:rsid w:val="00084360"/>
    <w:pPr>
      <w:spacing w:after="120"/>
    </w:pPr>
    <w:rPr>
      <w:rFonts w:eastAsia="Times New Roman" w:cs="Times New Roman"/>
      <w:b/>
      <w:bCs/>
      <w:noProof/>
      <w:color w:val="404040" w:themeColor="text1" w:themeTint="BF"/>
      <w:sz w:val="24"/>
    </w:rPr>
  </w:style>
  <w:style w:type="table" w:customStyle="1" w:styleId="TableGrid2">
    <w:name w:val="Table Grid2"/>
    <w:basedOn w:val="TableNormal"/>
    <w:next w:val="TableGrid"/>
    <w:uiPriority w:val="59"/>
    <w:rsid w:val="0008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084360"/>
    <w:rPr>
      <w:rFonts w:eastAsia="Times New Roman" w:cs="Times New Roman"/>
      <w:b/>
      <w:bCs/>
      <w:noProof/>
      <w:color w:val="404040" w:themeColor="text1" w:themeTint="BF"/>
      <w:sz w:val="24"/>
    </w:rPr>
  </w:style>
  <w:style w:type="paragraph" w:customStyle="1" w:styleId="Pagenumbers">
    <w:name w:val="Page numbers"/>
    <w:basedOn w:val="Normal"/>
    <w:link w:val="PagenumbersChar"/>
    <w:qFormat/>
    <w:rsid w:val="00084360"/>
    <w:pPr>
      <w:spacing w:after="0" w:line="240" w:lineRule="auto"/>
    </w:pPr>
    <w:rPr>
      <w:sz w:val="18"/>
      <w:szCs w:val="18"/>
    </w:rPr>
  </w:style>
  <w:style w:type="character" w:customStyle="1" w:styleId="PagenumbersChar">
    <w:name w:val="Page numbers Char"/>
    <w:basedOn w:val="DefaultParagraphFont"/>
    <w:link w:val="Pagenumbers"/>
    <w:rsid w:val="00084360"/>
    <w:rPr>
      <w:sz w:val="18"/>
      <w:szCs w:val="18"/>
    </w:rPr>
  </w:style>
  <w:style w:type="paragraph" w:customStyle="1" w:styleId="TableText">
    <w:name w:val="Table Text"/>
    <w:link w:val="TableTextChar"/>
    <w:qFormat/>
    <w:rsid w:val="00084360"/>
    <w:pPr>
      <w:spacing w:before="80" w:after="80"/>
    </w:pPr>
    <w:rPr>
      <w:color w:val="000000" w:themeColor="text1"/>
      <w:szCs w:val="20"/>
      <w:lang w:eastAsia="en-AU"/>
    </w:rPr>
  </w:style>
  <w:style w:type="character" w:customStyle="1" w:styleId="TableTextChar">
    <w:name w:val="Table Text Char"/>
    <w:basedOn w:val="DefaultParagraphFont"/>
    <w:link w:val="TableText"/>
    <w:rsid w:val="00084360"/>
    <w:rPr>
      <w:color w:val="000000" w:themeColor="text1"/>
      <w:szCs w:val="20"/>
      <w:lang w:eastAsia="en-AU"/>
    </w:rPr>
  </w:style>
  <w:style w:type="character" w:customStyle="1" w:styleId="ListParagraphChar">
    <w:name w:val="List Paragraph Char"/>
    <w:aliases w:val="Bullet Point List Char"/>
    <w:link w:val="ListParagraph"/>
    <w:uiPriority w:val="34"/>
    <w:rsid w:val="00E36F66"/>
    <w:rPr>
      <w:u w:val="single"/>
    </w:rPr>
  </w:style>
  <w:style w:type="character" w:styleId="FootnoteReference">
    <w:name w:val="footnote reference"/>
    <w:basedOn w:val="DefaultParagraphFont"/>
    <w:uiPriority w:val="99"/>
    <w:semiHidden/>
    <w:unhideWhenUsed/>
    <w:rsid w:val="009D7060"/>
    <w:rPr>
      <w:vertAlign w:val="superscript"/>
    </w:rPr>
  </w:style>
  <w:style w:type="paragraph" w:customStyle="1" w:styleId="-Normal1-">
    <w:name w:val="-Normal1-"/>
    <w:autoRedefine/>
    <w:qFormat/>
    <w:rsid w:val="009D7060"/>
    <w:pPr>
      <w:ind w:left="29" w:right="34"/>
    </w:pPr>
    <w:rPr>
      <w:rFonts w:eastAsia="Times New Roman" w:cs="Arial"/>
      <w:color w:val="000000" w:themeColor="text1"/>
      <w:sz w:val="20"/>
      <w:lang w:eastAsia="en-AU"/>
    </w:rPr>
  </w:style>
  <w:style w:type="paragraph" w:customStyle="1" w:styleId="Bullet2">
    <w:name w:val="Bullet2"/>
    <w:basedOn w:val="Title"/>
    <w:link w:val="Bullet2Char"/>
    <w:qFormat/>
    <w:rsid w:val="005528E3"/>
    <w:pPr>
      <w:numPr>
        <w:numId w:val="14"/>
      </w:numPr>
      <w:spacing w:before="120" w:after="120"/>
      <w:ind w:left="568" w:hanging="284"/>
      <w:contextualSpacing w:val="0"/>
    </w:pPr>
    <w:rPr>
      <w:b w:val="0"/>
    </w:rPr>
  </w:style>
  <w:style w:type="character" w:customStyle="1" w:styleId="Bullet2Char">
    <w:name w:val="Bullet2 Char"/>
    <w:basedOn w:val="TitleChar"/>
    <w:link w:val="Bullet2"/>
    <w:rsid w:val="005528E3"/>
    <w:rPr>
      <w:rFonts w:ascii="Arial" w:eastAsiaTheme="majorEastAsia" w:hAnsi="Arial" w:cstheme="majorBidi"/>
      <w:b w:val="0"/>
      <w:color w:val="004B88"/>
      <w:spacing w:val="-10"/>
      <w:kern w:val="28"/>
      <w:sz w:val="52"/>
      <w:szCs w:val="56"/>
    </w:rPr>
  </w:style>
  <w:style w:type="character" w:styleId="FollowedHyperlink">
    <w:name w:val="FollowedHyperlink"/>
    <w:basedOn w:val="DefaultParagraphFont"/>
    <w:uiPriority w:val="98"/>
    <w:semiHidden/>
    <w:unhideWhenUsed/>
    <w:rsid w:val="00AC724C"/>
    <w:rPr>
      <w:color w:val="7F7F7F" w:themeColor="followedHyperlink"/>
      <w:u w:val="single"/>
    </w:rPr>
  </w:style>
  <w:style w:type="character" w:styleId="UnresolvedMention">
    <w:name w:val="Unresolved Mention"/>
    <w:basedOn w:val="DefaultParagraphFont"/>
    <w:uiPriority w:val="98"/>
    <w:semiHidden/>
    <w:unhideWhenUsed/>
    <w:rsid w:val="00EC68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91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c.sa.gov.au/digital/security" TargetMode="External"/><Relationship Id="rId13" Type="http://schemas.openxmlformats.org/officeDocument/2006/relationships/hyperlink" Target="https://acsc.gov.au/infosec/cloudsecurity.htm" TargetMode="External"/><Relationship Id="rId18" Type="http://schemas.openxmlformats.org/officeDocument/2006/relationships/hyperlink" Target="https://dpc.sa.gov.au/resources-and-publications/premier-and-cabinet-circulars" TargetMode="External"/><Relationship Id="rId26" Type="http://schemas.openxmlformats.org/officeDocument/2006/relationships/image" Target="http://i.creativecommons.org/l/by/2.5/au/88x31.png" TargetMode="External"/><Relationship Id="rId3" Type="http://schemas.openxmlformats.org/officeDocument/2006/relationships/styles" Target="styles.xml"/><Relationship Id="rId21" Type="http://schemas.openxmlformats.org/officeDocument/2006/relationships/hyperlink" Target="https://cloudsecurityalliance.org/working-groups/cloud-controls-matrix/" TargetMode="External"/><Relationship Id="rId7" Type="http://schemas.openxmlformats.org/officeDocument/2006/relationships/endnotes" Target="endnotes.xml"/><Relationship Id="rId12" Type="http://schemas.openxmlformats.org/officeDocument/2006/relationships/hyperlink" Target="https://www.finance.gov.au/blog/2011/04/14/australian-government-releases-its-cloud-computing-strategic-direction-paper/" TargetMode="External"/><Relationship Id="rId17" Type="http://schemas.openxmlformats.org/officeDocument/2006/relationships/hyperlink" Target="https://dpc.sa.gov.au/resources-and-publications/premier-and-cabinet-circulars"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dpc.sa.gov.au/digital/security" TargetMode="External"/><Relationship Id="rId20" Type="http://schemas.openxmlformats.org/officeDocument/2006/relationships/hyperlink" Target="https://www.asd.gov.au/infosec/is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securityalliance.org/working-groups/cloud-controls-matrix/" TargetMode="External"/><Relationship Id="rId24" Type="http://schemas.openxmlformats.org/officeDocument/2006/relationships/hyperlink" Target="http://www.adri.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isa.europa.eu/publications/security-and-resilience-in-governmental-clouds" TargetMode="External"/><Relationship Id="rId23" Type="http://schemas.openxmlformats.org/officeDocument/2006/relationships/hyperlink" Target="https://acsc.gov.au/infosec/cloudsecurity.htm" TargetMode="External"/><Relationship Id="rId28" Type="http://schemas.openxmlformats.org/officeDocument/2006/relationships/footer" Target="footer1.xml"/><Relationship Id="rId10" Type="http://schemas.openxmlformats.org/officeDocument/2006/relationships/hyperlink" Target="http://www.adri.gov.au/resources/documents/cloud-computing.pdf" TargetMode="External"/><Relationship Id="rId19" Type="http://schemas.openxmlformats.org/officeDocument/2006/relationships/hyperlink" Target="https://www.protectivesecurity.gov.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pc.sa.gov.au/digital/security" TargetMode="External"/><Relationship Id="rId14" Type="http://schemas.openxmlformats.org/officeDocument/2006/relationships/hyperlink" Target="https://www.enisa.europa.eu/publications/cloud-computing-risk-assessment" TargetMode="External"/><Relationship Id="rId22" Type="http://schemas.openxmlformats.org/officeDocument/2006/relationships/hyperlink" Target="https://csrc.nist.gov/publications/detail/sp/800-146/final" TargetMode="External"/><Relationship Id="rId27" Type="http://schemas.openxmlformats.org/officeDocument/2006/relationships/hyperlink" Target="http://creativecommons.org/licenses/by/4.0/"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6DFE0-A7DC-4F2B-B53F-E7EF593C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2019-02-18T22:41:00Z</dcterms:created>
  <dcterms:modified xsi:type="dcterms:W3CDTF">2019-03-29T00:23:00Z</dcterms:modified>
</cp:coreProperties>
</file>